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461B3" w14:textId="25039F58" w:rsidR="002C2AE0" w:rsidRDefault="001A18B2">
      <w:pPr>
        <w:tabs>
          <w:tab w:val="left" w:pos="1800"/>
          <w:tab w:val="center" w:pos="4536"/>
          <w:tab w:val="right" w:pos="9070"/>
        </w:tabs>
        <w:ind w:left="1800" w:hanging="1800"/>
        <w:rPr>
          <w:rFonts w:ascii="Arial" w:hAnsi="Arial" w:cs="Arial"/>
          <w:b/>
          <w:bCs/>
          <w:sz w:val="22"/>
          <w:szCs w:val="22"/>
        </w:rPr>
      </w:pPr>
      <w:bookmarkStart w:id="0" w:name="OLE_LINK39"/>
      <w:bookmarkStart w:id="1" w:name="_GoBack"/>
      <w:bookmarkEnd w:id="1"/>
      <w:r>
        <w:rPr>
          <w:rFonts w:ascii="Arial" w:eastAsia="Tahoma" w:hAnsi="Arial" w:cs="Arial"/>
          <w:b/>
          <w:bCs/>
          <w:sz w:val="22"/>
          <w:szCs w:val="22"/>
        </w:rPr>
        <w:t>3GPP TSG-RAN WG</w:t>
      </w:r>
      <w:r>
        <w:rPr>
          <w:rFonts w:ascii="Arial" w:hAnsi="Arial" w:cs="Arial" w:hint="eastAsia"/>
          <w:b/>
          <w:bCs/>
          <w:sz w:val="22"/>
          <w:szCs w:val="22"/>
        </w:rPr>
        <w:t>3</w:t>
      </w:r>
      <w:r>
        <w:rPr>
          <w:rFonts w:ascii="Arial" w:eastAsia="Tahoma" w:hAnsi="Arial" w:cs="Arial"/>
          <w:b/>
          <w:bCs/>
          <w:sz w:val="22"/>
          <w:szCs w:val="22"/>
        </w:rPr>
        <w:t xml:space="preserve"> Meeting #1</w:t>
      </w:r>
      <w:r>
        <w:rPr>
          <w:rFonts w:ascii="Arial" w:hAnsi="Arial" w:cs="Arial"/>
          <w:b/>
          <w:bCs/>
          <w:sz w:val="22"/>
          <w:szCs w:val="22"/>
        </w:rPr>
        <w:t>17</w:t>
      </w:r>
      <w:r>
        <w:rPr>
          <w:rFonts w:ascii="Arial" w:hAnsi="Arial" w:cs="Arial" w:hint="eastAsia"/>
          <w:b/>
          <w:bCs/>
          <w:sz w:val="22"/>
          <w:szCs w:val="22"/>
        </w:rPr>
        <w:t>bis</w:t>
      </w:r>
      <w:r>
        <w:rPr>
          <w:rFonts w:ascii="Arial" w:eastAsia="Tahoma" w:hAnsi="Arial" w:cs="Arial"/>
          <w:b/>
          <w:bCs/>
          <w:sz w:val="22"/>
          <w:szCs w:val="22"/>
        </w:rPr>
        <w:t>-e</w:t>
      </w:r>
      <w:r>
        <w:rPr>
          <w:rFonts w:ascii="Arial" w:eastAsia="Tahoma" w:hAnsi="Arial" w:cs="Arial"/>
          <w:b/>
          <w:bCs/>
          <w:sz w:val="22"/>
          <w:szCs w:val="22"/>
        </w:rPr>
        <w:tab/>
      </w:r>
      <w:r>
        <w:rPr>
          <w:rFonts w:ascii="Arial" w:eastAsia="Tahoma" w:hAnsi="Arial" w:cs="Arial"/>
          <w:b/>
          <w:bCs/>
          <w:sz w:val="22"/>
          <w:szCs w:val="22"/>
        </w:rPr>
        <w:tab/>
      </w:r>
      <w:r>
        <w:rPr>
          <w:rFonts w:ascii="Arial" w:eastAsia="Tahoma" w:hAnsi="Arial" w:cs="Arial" w:hint="eastAsia"/>
          <w:b/>
          <w:bCs/>
          <w:sz w:val="22"/>
          <w:szCs w:val="22"/>
        </w:rPr>
        <w:t>R3-</w:t>
      </w:r>
      <w:r w:rsidR="006B24D4">
        <w:rPr>
          <w:rFonts w:ascii="Arial" w:eastAsia="Tahoma" w:hAnsi="Arial" w:cs="Arial" w:hint="eastAsia"/>
          <w:b/>
          <w:bCs/>
          <w:sz w:val="22"/>
          <w:szCs w:val="22"/>
        </w:rPr>
        <w:t>22</w:t>
      </w:r>
      <w:r w:rsidR="006B24D4">
        <w:rPr>
          <w:rFonts w:ascii="Arial" w:hAnsi="Arial" w:cs="Arial"/>
          <w:b/>
          <w:bCs/>
          <w:sz w:val="22"/>
          <w:szCs w:val="22"/>
        </w:rPr>
        <w:t>5745</w:t>
      </w:r>
    </w:p>
    <w:bookmarkEnd w:id="0"/>
    <w:p w14:paraId="20F5018C" w14:textId="77777777" w:rsidR="002C2AE0" w:rsidRDefault="001A18B2">
      <w:pPr>
        <w:pStyle w:val="Header"/>
        <w:tabs>
          <w:tab w:val="clear" w:pos="4536"/>
          <w:tab w:val="left" w:pos="1800"/>
        </w:tabs>
        <w:ind w:left="1800" w:hanging="1800"/>
        <w:jc w:val="both"/>
        <w:rPr>
          <w:rFonts w:eastAsia="宋体"/>
          <w:sz w:val="22"/>
          <w:lang w:eastAsia="zh-CN"/>
        </w:rPr>
      </w:pPr>
      <w:r>
        <w:rPr>
          <w:rFonts w:eastAsia="宋体"/>
          <w:sz w:val="22"/>
          <w:lang w:eastAsia="zh-CN"/>
        </w:rPr>
        <w:t>Online, 1</w:t>
      </w:r>
      <w:r>
        <w:rPr>
          <w:rFonts w:eastAsia="宋体" w:hint="eastAsia"/>
          <w:sz w:val="22"/>
          <w:lang w:eastAsia="zh-CN"/>
        </w:rPr>
        <w:t>0</w:t>
      </w:r>
      <w:r>
        <w:rPr>
          <w:rFonts w:eastAsia="宋体"/>
          <w:sz w:val="22"/>
          <w:vertAlign w:val="superscript"/>
          <w:lang w:eastAsia="zh-CN"/>
        </w:rPr>
        <w:t>th</w:t>
      </w:r>
      <w:r>
        <w:rPr>
          <w:rFonts w:eastAsia="宋体"/>
          <w:sz w:val="22"/>
          <w:lang w:eastAsia="zh-CN"/>
        </w:rPr>
        <w:t xml:space="preserve"> – </w:t>
      </w:r>
      <w:r>
        <w:rPr>
          <w:rFonts w:eastAsia="宋体" w:hint="eastAsia"/>
          <w:sz w:val="22"/>
          <w:lang w:eastAsia="zh-CN"/>
        </w:rPr>
        <w:t>18</w:t>
      </w:r>
      <w:r>
        <w:rPr>
          <w:rFonts w:eastAsia="宋体"/>
          <w:sz w:val="22"/>
          <w:vertAlign w:val="superscript"/>
          <w:lang w:eastAsia="zh-CN"/>
        </w:rPr>
        <w:t>th</w:t>
      </w:r>
      <w:r>
        <w:rPr>
          <w:rFonts w:eastAsia="宋体"/>
          <w:sz w:val="22"/>
          <w:lang w:eastAsia="zh-CN"/>
        </w:rPr>
        <w:t xml:space="preserve"> </w:t>
      </w:r>
      <w:r>
        <w:rPr>
          <w:rFonts w:eastAsia="宋体" w:hint="eastAsia"/>
          <w:sz w:val="22"/>
          <w:lang w:eastAsia="zh-CN"/>
        </w:rPr>
        <w:t>Oct</w:t>
      </w:r>
      <w:r>
        <w:rPr>
          <w:rFonts w:eastAsia="宋体"/>
          <w:sz w:val="22"/>
          <w:lang w:eastAsia="zh-CN"/>
        </w:rPr>
        <w:t>. 202</w:t>
      </w:r>
      <w:r>
        <w:rPr>
          <w:rFonts w:eastAsia="宋体" w:hint="eastAsia"/>
          <w:sz w:val="22"/>
          <w:lang w:eastAsia="zh-CN"/>
        </w:rPr>
        <w:t>2</w:t>
      </w:r>
    </w:p>
    <w:p w14:paraId="72491273" w14:textId="77777777" w:rsidR="002C2AE0" w:rsidRDefault="001A18B2">
      <w:pPr>
        <w:pStyle w:val="Header"/>
        <w:tabs>
          <w:tab w:val="clear" w:pos="4536"/>
          <w:tab w:val="left" w:pos="1800"/>
        </w:tabs>
        <w:spacing w:after="0"/>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14:paraId="7855C7A0" w14:textId="77777777" w:rsidR="002C2AE0" w:rsidRDefault="001A18B2">
      <w:pPr>
        <w:pStyle w:val="Header"/>
        <w:tabs>
          <w:tab w:val="clear" w:pos="4536"/>
          <w:tab w:val="left" w:pos="1800"/>
        </w:tabs>
        <w:spacing w:after="0"/>
        <w:ind w:left="1800" w:hanging="1800"/>
        <w:rPr>
          <w:rFonts w:eastAsia="宋体"/>
          <w:sz w:val="22"/>
          <w:lang w:eastAsia="zh-CN"/>
        </w:rPr>
      </w:pPr>
      <w:r>
        <w:rPr>
          <w:rFonts w:eastAsia="宋体" w:hint="eastAsia"/>
          <w:sz w:val="22"/>
          <w:lang w:eastAsia="zh-CN"/>
        </w:rPr>
        <w:t>Title:</w:t>
      </w:r>
      <w:bookmarkStart w:id="2" w:name="Title"/>
      <w:bookmarkEnd w:id="2"/>
      <w:r>
        <w:rPr>
          <w:rFonts w:eastAsia="宋体" w:hint="eastAsia"/>
          <w:sz w:val="22"/>
          <w:lang w:eastAsia="zh-CN"/>
        </w:rPr>
        <w:tab/>
      </w:r>
      <w:r w:rsidR="00D53D80">
        <w:rPr>
          <w:rFonts w:eastAsia="宋体"/>
          <w:sz w:val="22"/>
          <w:lang w:eastAsia="zh-CN"/>
        </w:rPr>
        <w:t>C</w:t>
      </w:r>
      <w:r>
        <w:rPr>
          <w:rFonts w:eastAsia="宋体" w:hint="eastAsia"/>
          <w:sz w:val="22"/>
          <w:lang w:eastAsia="zh-CN"/>
        </w:rPr>
        <w:t xml:space="preserve">onsiderations on </w:t>
      </w:r>
      <w:r>
        <w:rPr>
          <w:rFonts w:eastAsia="宋体" w:hint="eastAsia"/>
          <w:sz w:val="22"/>
        </w:rPr>
        <w:t xml:space="preserve">NR-DC with </w:t>
      </w:r>
      <w:r w:rsidR="00D53D80">
        <w:rPr>
          <w:rFonts w:eastAsia="宋体"/>
          <w:sz w:val="22"/>
        </w:rPr>
        <w:t>S</w:t>
      </w:r>
      <w:r>
        <w:rPr>
          <w:rFonts w:eastAsia="宋体" w:hint="eastAsia"/>
          <w:sz w:val="22"/>
        </w:rPr>
        <w:t xml:space="preserve">elective </w:t>
      </w:r>
      <w:r w:rsidR="00D53D80">
        <w:rPr>
          <w:rFonts w:eastAsia="宋体"/>
          <w:sz w:val="22"/>
        </w:rPr>
        <w:t>A</w:t>
      </w:r>
      <w:r>
        <w:rPr>
          <w:rFonts w:eastAsia="宋体" w:hint="eastAsia"/>
          <w:sz w:val="22"/>
        </w:rPr>
        <w:t>ctivation</w:t>
      </w:r>
    </w:p>
    <w:p w14:paraId="0DD83D17" w14:textId="77777777" w:rsidR="002C2AE0" w:rsidRDefault="001A18B2">
      <w:pPr>
        <w:pStyle w:val="Header"/>
        <w:tabs>
          <w:tab w:val="clear" w:pos="4536"/>
          <w:tab w:val="left" w:pos="1800"/>
        </w:tabs>
        <w:spacing w:after="0"/>
        <w:ind w:left="1800" w:hanging="1800"/>
        <w:rPr>
          <w:rFonts w:eastAsia="宋体"/>
          <w:sz w:val="22"/>
          <w:lang w:eastAsia="zh-CN"/>
        </w:rPr>
      </w:pPr>
      <w:r>
        <w:rPr>
          <w:rFonts w:eastAsia="宋体"/>
          <w:sz w:val="22"/>
          <w:lang w:eastAsia="zh-CN"/>
        </w:rPr>
        <w:t>Agenda Item:</w:t>
      </w:r>
      <w:bookmarkStart w:id="3" w:name="Source"/>
      <w:bookmarkEnd w:id="3"/>
      <w:r>
        <w:rPr>
          <w:rFonts w:eastAsia="宋体"/>
          <w:sz w:val="22"/>
          <w:lang w:eastAsia="zh-CN"/>
        </w:rPr>
        <w:tab/>
      </w:r>
      <w:r>
        <w:rPr>
          <w:rFonts w:eastAsia="宋体" w:hint="eastAsia"/>
          <w:sz w:val="22"/>
          <w:lang w:eastAsia="zh-CN"/>
        </w:rPr>
        <w:t>14</w:t>
      </w:r>
      <w:r>
        <w:rPr>
          <w:rFonts w:eastAsia="宋体"/>
          <w:sz w:val="22"/>
          <w:lang w:eastAsia="zh-CN"/>
        </w:rPr>
        <w:t>.</w:t>
      </w:r>
      <w:r>
        <w:rPr>
          <w:rFonts w:eastAsia="宋体" w:hint="eastAsia"/>
          <w:sz w:val="22"/>
          <w:lang w:eastAsia="zh-CN"/>
        </w:rPr>
        <w:t>4</w:t>
      </w:r>
    </w:p>
    <w:p w14:paraId="3BAC477D" w14:textId="77777777" w:rsidR="002C2AE0" w:rsidRDefault="001A18B2">
      <w:pPr>
        <w:pStyle w:val="Header"/>
        <w:tabs>
          <w:tab w:val="clear" w:pos="4536"/>
          <w:tab w:val="left" w:pos="1800"/>
        </w:tabs>
        <w:spacing w:after="0"/>
        <w:ind w:left="1800" w:hanging="1800"/>
        <w:rPr>
          <w:rFonts w:eastAsia="宋体"/>
          <w:sz w:val="22"/>
          <w:lang w:eastAsia="zh-CN"/>
        </w:rPr>
      </w:pPr>
      <w:r>
        <w:rPr>
          <w:rFonts w:eastAsia="宋体"/>
          <w:sz w:val="22"/>
          <w:lang w:eastAsia="zh-CN"/>
        </w:rPr>
        <w:t>Document for:</w:t>
      </w:r>
      <w:r>
        <w:rPr>
          <w:rFonts w:eastAsia="宋体"/>
          <w:sz w:val="22"/>
          <w:lang w:eastAsia="zh-CN"/>
        </w:rPr>
        <w:tab/>
      </w:r>
      <w:bookmarkStart w:id="4" w:name="DocumentFor"/>
      <w:bookmarkEnd w:id="4"/>
      <w:r>
        <w:rPr>
          <w:rFonts w:eastAsia="宋体"/>
          <w:sz w:val="22"/>
          <w:lang w:eastAsia="zh-CN"/>
        </w:rPr>
        <w:t>Discussion and Decision</w:t>
      </w:r>
    </w:p>
    <w:p w14:paraId="5B3F5FB9" w14:textId="77777777" w:rsidR="002C2AE0" w:rsidRDefault="001A18B2">
      <w:pPr>
        <w:pStyle w:val="Heading1"/>
        <w:keepLines/>
        <w:numPr>
          <w:ilvl w:val="0"/>
          <w:numId w:val="2"/>
        </w:numPr>
        <w:pBdr>
          <w:top w:val="single" w:sz="12" w:space="3" w:color="auto"/>
        </w:pBdr>
        <w:overflowPunct w:val="0"/>
        <w:autoSpaceDE w:val="0"/>
        <w:autoSpaceDN w:val="0"/>
        <w:adjustRightInd w:val="0"/>
        <w:jc w:val="both"/>
        <w:textAlignment w:val="baseline"/>
        <w:rPr>
          <w:rFonts w:cs="Times New Roman"/>
          <w:b w:val="0"/>
          <w:bCs w:val="0"/>
          <w:kern w:val="0"/>
          <w:sz w:val="36"/>
          <w:szCs w:val="20"/>
          <w:lang w:val="en-GB" w:eastAsia="en-GB"/>
        </w:rPr>
      </w:pPr>
      <w:bookmarkStart w:id="5" w:name="OLE_LINK14"/>
      <w:bookmarkStart w:id="6" w:name="OLE_LINK13"/>
      <w:r>
        <w:rPr>
          <w:rFonts w:cs="Times New Roman" w:hint="eastAsia"/>
          <w:b w:val="0"/>
          <w:bCs w:val="0"/>
          <w:kern w:val="0"/>
          <w:sz w:val="36"/>
          <w:szCs w:val="20"/>
          <w:lang w:val="en-GB" w:eastAsia="en-GB"/>
        </w:rPr>
        <w:t>Introduction</w:t>
      </w:r>
    </w:p>
    <w:p w14:paraId="294829D4" w14:textId="77777777" w:rsidR="002C2AE0" w:rsidRDefault="001A18B2">
      <w:pPr>
        <w:jc w:val="both"/>
        <w:rPr>
          <w:bCs/>
          <w:sz w:val="21"/>
          <w:szCs w:val="21"/>
        </w:rPr>
      </w:pPr>
      <w:r>
        <w:rPr>
          <w:rFonts w:hint="eastAsia"/>
          <w:bCs/>
          <w:sz w:val="21"/>
          <w:szCs w:val="21"/>
        </w:rPr>
        <w:t xml:space="preserve">In the RAN3#117 meeting, the topic of </w:t>
      </w:r>
      <w:r>
        <w:rPr>
          <w:rFonts w:hint="eastAsia"/>
          <w:bCs/>
          <w:sz w:val="21"/>
          <w:szCs w:val="21"/>
          <w:lang w:eastAsia="en-US"/>
        </w:rPr>
        <w:t>NR-DC with selective activation</w:t>
      </w:r>
      <w:r>
        <w:rPr>
          <w:rFonts w:hint="eastAsia"/>
          <w:bCs/>
          <w:sz w:val="21"/>
          <w:szCs w:val="21"/>
        </w:rPr>
        <w:t xml:space="preserve"> was discussed. And the agreements are following:</w:t>
      </w:r>
    </w:p>
    <w:tbl>
      <w:tblPr>
        <w:tblStyle w:val="TableGrid"/>
        <w:tblW w:w="0" w:type="auto"/>
        <w:tblLook w:val="04A0" w:firstRow="1" w:lastRow="0" w:firstColumn="1" w:lastColumn="0" w:noHBand="0" w:noVBand="1"/>
      </w:tblPr>
      <w:tblGrid>
        <w:gridCol w:w="9288"/>
      </w:tblGrid>
      <w:tr w:rsidR="002C2AE0" w14:paraId="74F3BC98" w14:textId="77777777">
        <w:tc>
          <w:tcPr>
            <w:tcW w:w="9288" w:type="dxa"/>
          </w:tcPr>
          <w:p w14:paraId="507979E3" w14:textId="77777777" w:rsidR="002C2AE0" w:rsidRDefault="001A18B2">
            <w:pPr>
              <w:spacing w:beforeAutospacing="1" w:after="120"/>
              <w:rPr>
                <w:rFonts w:ascii="Calibri" w:hAnsi="Calibri" w:cs="Calibri"/>
                <w:i/>
                <w:iCs/>
                <w:color w:val="00B050"/>
                <w:kern w:val="2"/>
                <w:sz w:val="16"/>
                <w:szCs w:val="16"/>
                <w:highlight w:val="yellow"/>
              </w:rPr>
            </w:pPr>
            <w:r>
              <w:rPr>
                <w:rFonts w:ascii="Calibri" w:eastAsia="MS Mincho" w:hAnsi="Calibri" w:cs="Calibri"/>
                <w:i/>
                <w:iCs/>
                <w:color w:val="00B050"/>
                <w:kern w:val="2"/>
                <w:sz w:val="16"/>
                <w:szCs w:val="16"/>
                <w:highlight w:val="yellow"/>
                <w:lang w:bidi="ar"/>
              </w:rPr>
              <w:t>RAN3 considers SCG selective activation is prioritized in the Rel-18 work. It can be revisited based on RAN2 progress.</w:t>
            </w:r>
          </w:p>
          <w:p w14:paraId="5F45EB6E" w14:textId="77777777" w:rsidR="002C2AE0" w:rsidRDefault="001A18B2">
            <w:pPr>
              <w:spacing w:beforeAutospacing="1" w:after="120"/>
              <w:rPr>
                <w:rFonts w:ascii="Calibri" w:eastAsia="MS Mincho" w:hAnsi="Calibri" w:cs="Calibri"/>
                <w:i/>
                <w:iCs/>
                <w:color w:val="00B050"/>
                <w:kern w:val="2"/>
                <w:sz w:val="16"/>
                <w:szCs w:val="16"/>
                <w:highlight w:val="yellow"/>
                <w:lang w:bidi="ar"/>
              </w:rPr>
            </w:pPr>
            <w:r>
              <w:rPr>
                <w:rFonts w:ascii="Calibri" w:eastAsia="MS Mincho" w:hAnsi="Calibri" w:cs="Calibri"/>
                <w:i/>
                <w:iCs/>
                <w:color w:val="00B050"/>
                <w:kern w:val="2"/>
                <w:sz w:val="16"/>
                <w:szCs w:val="16"/>
                <w:highlight w:val="yellow"/>
                <w:lang w:bidi="ar"/>
              </w:rPr>
              <w:t>WA: RAN3 considers the Inter-CU and Intra-CU cases with equal priority, and studies both the F1 and Xn signaling aspects. It can be revisited based on RAN2 progress.</w:t>
            </w:r>
          </w:p>
          <w:p w14:paraId="1865BF5E" w14:textId="77777777" w:rsidR="002C2AE0" w:rsidRDefault="001A18B2">
            <w:pPr>
              <w:spacing w:beforeAutospacing="1" w:after="120"/>
              <w:rPr>
                <w:rFonts w:ascii="Calibri" w:eastAsia="MS Mincho" w:hAnsi="Calibri" w:cs="Calibri"/>
                <w:i/>
                <w:iCs/>
                <w:color w:val="00B050"/>
                <w:kern w:val="2"/>
                <w:sz w:val="16"/>
                <w:szCs w:val="16"/>
                <w:lang w:bidi="ar"/>
              </w:rPr>
            </w:pPr>
            <w:r>
              <w:rPr>
                <w:rFonts w:ascii="Calibri" w:eastAsia="MS Mincho" w:hAnsi="Calibri" w:cs="Calibri"/>
                <w:i/>
                <w:iCs/>
                <w:color w:val="00B050"/>
                <w:kern w:val="2"/>
                <w:sz w:val="16"/>
                <w:szCs w:val="16"/>
                <w:lang w:bidi="ar"/>
              </w:rPr>
              <w:t>From RAN3 point of view, Rel-16/Rel-17 CPAC procedures are considered as start point for the Rel-18 work.</w:t>
            </w:r>
          </w:p>
          <w:p w14:paraId="126B3BEA" w14:textId="77777777" w:rsidR="002C2AE0" w:rsidRDefault="001A18B2">
            <w:pPr>
              <w:spacing w:beforeAutospacing="1" w:after="120"/>
              <w:rPr>
                <w:rFonts w:ascii="Calibri" w:eastAsia="MS Mincho" w:hAnsi="Calibri" w:cs="Calibri"/>
                <w:i/>
                <w:iCs/>
                <w:color w:val="00B050"/>
                <w:kern w:val="2"/>
                <w:sz w:val="16"/>
                <w:szCs w:val="16"/>
                <w:lang w:bidi="ar"/>
              </w:rPr>
            </w:pPr>
            <w:r>
              <w:rPr>
                <w:rFonts w:ascii="Calibri" w:eastAsia="MS Mincho" w:hAnsi="Calibri" w:cs="Calibri"/>
                <w:i/>
                <w:iCs/>
                <w:color w:val="00B050"/>
                <w:kern w:val="2"/>
                <w:sz w:val="16"/>
                <w:szCs w:val="16"/>
                <w:lang w:bidi="ar"/>
              </w:rPr>
              <w:t>The following scenarios are depending on RAN2 progress.</w:t>
            </w:r>
          </w:p>
          <w:p w14:paraId="36E62D6A" w14:textId="77777777" w:rsidR="002C2AE0" w:rsidRDefault="001A18B2">
            <w:pPr>
              <w:spacing w:beforeAutospacing="1" w:after="120"/>
              <w:rPr>
                <w:rFonts w:ascii="Calibri" w:eastAsia="MS Mincho" w:hAnsi="Calibri" w:cs="Calibri"/>
                <w:i/>
                <w:iCs/>
                <w:color w:val="00B050"/>
                <w:kern w:val="2"/>
                <w:sz w:val="16"/>
                <w:szCs w:val="16"/>
                <w:lang w:bidi="ar"/>
              </w:rPr>
            </w:pPr>
            <w:r>
              <w:rPr>
                <w:rFonts w:ascii="Calibri" w:eastAsia="MS Mincho" w:hAnsi="Calibri" w:cs="Calibri"/>
                <w:i/>
                <w:iCs/>
                <w:color w:val="00B050"/>
                <w:kern w:val="2"/>
                <w:sz w:val="16"/>
                <w:szCs w:val="16"/>
                <w:lang w:bidi="ar"/>
              </w:rPr>
              <w:t xml:space="preserve">SCG failure handling enhancements to enable </w:t>
            </w:r>
            <w:proofErr w:type="spellStart"/>
            <w:r>
              <w:rPr>
                <w:rFonts w:ascii="Calibri" w:eastAsia="MS Mincho" w:hAnsi="Calibri" w:cs="Calibri"/>
                <w:i/>
                <w:iCs/>
                <w:color w:val="00B050"/>
                <w:kern w:val="2"/>
                <w:sz w:val="16"/>
                <w:szCs w:val="16"/>
                <w:lang w:bidi="ar"/>
              </w:rPr>
              <w:t>PSCell</w:t>
            </w:r>
            <w:proofErr w:type="spellEnd"/>
            <w:r>
              <w:rPr>
                <w:rFonts w:ascii="Calibri" w:eastAsia="MS Mincho" w:hAnsi="Calibri" w:cs="Calibri"/>
                <w:i/>
                <w:iCs/>
                <w:color w:val="00B050"/>
                <w:kern w:val="2"/>
                <w:sz w:val="16"/>
                <w:szCs w:val="16"/>
                <w:lang w:bidi="ar"/>
              </w:rPr>
              <w:t xml:space="preserve"> addition and </w:t>
            </w:r>
            <w:proofErr w:type="spellStart"/>
            <w:r>
              <w:rPr>
                <w:rFonts w:ascii="Calibri" w:eastAsia="MS Mincho" w:hAnsi="Calibri" w:cs="Calibri"/>
                <w:i/>
                <w:iCs/>
                <w:color w:val="00B050"/>
                <w:kern w:val="2"/>
                <w:sz w:val="16"/>
                <w:szCs w:val="16"/>
                <w:lang w:bidi="ar"/>
              </w:rPr>
              <w:t>PSCell</w:t>
            </w:r>
            <w:proofErr w:type="spellEnd"/>
            <w:r>
              <w:rPr>
                <w:rFonts w:ascii="Calibri" w:eastAsia="MS Mincho" w:hAnsi="Calibri" w:cs="Calibri"/>
                <w:i/>
                <w:iCs/>
                <w:color w:val="00B050"/>
                <w:kern w:val="2"/>
                <w:sz w:val="16"/>
                <w:szCs w:val="16"/>
                <w:lang w:bidi="ar"/>
              </w:rPr>
              <w:t xml:space="preserve"> change after SCG failure.</w:t>
            </w:r>
          </w:p>
          <w:p w14:paraId="37691832" w14:textId="77777777" w:rsidR="002C2AE0" w:rsidRDefault="001A18B2">
            <w:pPr>
              <w:spacing w:beforeAutospacing="1" w:after="120"/>
              <w:rPr>
                <w:rFonts w:ascii="Calibri" w:eastAsia="MS Mincho" w:hAnsi="Calibri" w:cs="Calibri"/>
                <w:i/>
                <w:iCs/>
                <w:color w:val="00B050"/>
                <w:kern w:val="2"/>
                <w:sz w:val="16"/>
                <w:szCs w:val="16"/>
                <w:lang w:bidi="ar"/>
              </w:rPr>
            </w:pPr>
            <w:r>
              <w:rPr>
                <w:rFonts w:ascii="Calibri" w:eastAsia="MS Mincho" w:hAnsi="Calibri" w:cs="Calibri"/>
                <w:i/>
                <w:iCs/>
                <w:color w:val="00B050"/>
                <w:kern w:val="2"/>
                <w:sz w:val="16"/>
                <w:szCs w:val="16"/>
                <w:lang w:bidi="ar"/>
              </w:rPr>
              <w:t>Signaling support for inclusion of CPC configuration within a CPC or CPA configuration, in case CPC/CPA configuration is supported within CHO configuration.</w:t>
            </w:r>
          </w:p>
          <w:p w14:paraId="55D20417" w14:textId="77777777" w:rsidR="002C2AE0" w:rsidRDefault="001A18B2">
            <w:pPr>
              <w:spacing w:beforeAutospacing="1" w:after="120"/>
              <w:rPr>
                <w:rFonts w:ascii="Calibri" w:hAnsi="Calibri" w:cs="Calibri"/>
                <w:sz w:val="18"/>
              </w:rPr>
            </w:pPr>
            <w:r>
              <w:rPr>
                <w:rFonts w:ascii="Calibri" w:eastAsia="MS Mincho" w:hAnsi="Calibri" w:cs="Calibri"/>
                <w:i/>
                <w:iCs/>
                <w:color w:val="00B050"/>
                <w:kern w:val="2"/>
                <w:sz w:val="16"/>
                <w:szCs w:val="16"/>
                <w:highlight w:val="yellow"/>
                <w:lang w:bidi="ar"/>
              </w:rPr>
              <w:t xml:space="preserve">WA: A primary focus of the objective is to enable subsequent cell changes by keeping conditional reconfigurations after a cell change. RAN3 to pursue study of the Xn/F1 signaling changes required to support this objective. </w:t>
            </w:r>
          </w:p>
        </w:tc>
      </w:tr>
    </w:tbl>
    <w:p w14:paraId="4597160B" w14:textId="77777777" w:rsidR="002C2AE0" w:rsidRDefault="001A18B2">
      <w:pPr>
        <w:jc w:val="both"/>
        <w:rPr>
          <w:bCs/>
          <w:sz w:val="21"/>
          <w:szCs w:val="21"/>
        </w:rPr>
      </w:pPr>
      <w:r>
        <w:rPr>
          <w:rFonts w:hint="eastAsia"/>
          <w:bCs/>
          <w:sz w:val="21"/>
          <w:szCs w:val="21"/>
        </w:rPr>
        <w:t xml:space="preserve">In the agreements, </w:t>
      </w:r>
      <w:r w:rsidR="002E2E86">
        <w:rPr>
          <w:bCs/>
          <w:sz w:val="21"/>
          <w:szCs w:val="21"/>
        </w:rPr>
        <w:t>some working assumptions need</w:t>
      </w:r>
      <w:r>
        <w:rPr>
          <w:rFonts w:hint="eastAsia"/>
          <w:bCs/>
          <w:sz w:val="21"/>
          <w:szCs w:val="21"/>
        </w:rPr>
        <w:t xml:space="preserve"> to be confirmed based on RAN2 progress. </w:t>
      </w:r>
      <w:r w:rsidR="002E2E86">
        <w:rPr>
          <w:bCs/>
          <w:sz w:val="21"/>
          <w:szCs w:val="21"/>
        </w:rPr>
        <w:t>This paper provides</w:t>
      </w:r>
      <w:r>
        <w:rPr>
          <w:rFonts w:hint="eastAsia"/>
          <w:bCs/>
          <w:sz w:val="21"/>
          <w:szCs w:val="21"/>
        </w:rPr>
        <w:t xml:space="preserve"> our view on which WAs can be </w:t>
      </w:r>
      <w:r>
        <w:rPr>
          <w:bCs/>
          <w:sz w:val="21"/>
          <w:szCs w:val="21"/>
          <w:lang w:eastAsia="en-US"/>
        </w:rPr>
        <w:t>turn</w:t>
      </w:r>
      <w:r>
        <w:rPr>
          <w:rFonts w:hint="eastAsia"/>
          <w:bCs/>
          <w:sz w:val="21"/>
          <w:szCs w:val="21"/>
        </w:rPr>
        <w:t>ed</w:t>
      </w:r>
      <w:r>
        <w:rPr>
          <w:bCs/>
          <w:sz w:val="21"/>
          <w:szCs w:val="21"/>
          <w:lang w:eastAsia="en-US"/>
        </w:rPr>
        <w:t xml:space="preserve"> to agreement</w:t>
      </w:r>
      <w:r>
        <w:rPr>
          <w:rFonts w:hint="eastAsia"/>
          <w:bCs/>
          <w:sz w:val="21"/>
          <w:szCs w:val="21"/>
        </w:rPr>
        <w:t xml:space="preserve">s. In addition, our initial thinking on the Xn </w:t>
      </w:r>
      <w:r>
        <w:rPr>
          <w:bCs/>
          <w:sz w:val="21"/>
          <w:szCs w:val="21"/>
        </w:rPr>
        <w:t>changes required to support</w:t>
      </w:r>
      <w:r>
        <w:rPr>
          <w:rFonts w:hint="eastAsia"/>
          <w:bCs/>
          <w:sz w:val="21"/>
          <w:szCs w:val="21"/>
        </w:rPr>
        <w:t xml:space="preserve"> </w:t>
      </w:r>
      <w:r>
        <w:rPr>
          <w:rFonts w:hint="eastAsia"/>
          <w:bCs/>
          <w:sz w:val="21"/>
          <w:szCs w:val="21"/>
          <w:lang w:eastAsia="en-US"/>
        </w:rPr>
        <w:t>NR-DC with selective activation</w:t>
      </w:r>
      <w:r>
        <w:rPr>
          <w:rFonts w:hint="eastAsia"/>
          <w:bCs/>
          <w:sz w:val="21"/>
          <w:szCs w:val="21"/>
        </w:rPr>
        <w:t xml:space="preserve"> </w:t>
      </w:r>
      <w:r w:rsidR="002E2E86">
        <w:rPr>
          <w:bCs/>
          <w:sz w:val="21"/>
          <w:szCs w:val="21"/>
        </w:rPr>
        <w:t>is</w:t>
      </w:r>
      <w:r>
        <w:rPr>
          <w:rFonts w:hint="eastAsia"/>
          <w:bCs/>
          <w:sz w:val="21"/>
          <w:szCs w:val="21"/>
        </w:rPr>
        <w:t xml:space="preserve"> also provided.</w:t>
      </w:r>
    </w:p>
    <w:p w14:paraId="50358387" w14:textId="77777777" w:rsidR="002C2AE0" w:rsidRPr="00770499" w:rsidRDefault="001A18B2">
      <w:pPr>
        <w:pStyle w:val="Heading1"/>
        <w:keepLines/>
        <w:numPr>
          <w:ilvl w:val="0"/>
          <w:numId w:val="2"/>
        </w:numPr>
        <w:pBdr>
          <w:top w:val="single" w:sz="12" w:space="3" w:color="auto"/>
        </w:pBdr>
        <w:overflowPunct w:val="0"/>
        <w:autoSpaceDE w:val="0"/>
        <w:autoSpaceDN w:val="0"/>
        <w:adjustRightInd w:val="0"/>
        <w:jc w:val="both"/>
        <w:textAlignment w:val="baseline"/>
        <w:rPr>
          <w:b w:val="0"/>
          <w:bCs w:val="0"/>
          <w:kern w:val="0"/>
          <w:sz w:val="36"/>
          <w:szCs w:val="20"/>
          <w:lang w:val="en-GB" w:eastAsia="en-GB"/>
        </w:rPr>
      </w:pPr>
      <w:r w:rsidRPr="00770499">
        <w:rPr>
          <w:b w:val="0"/>
          <w:bCs w:val="0"/>
          <w:kern w:val="0"/>
          <w:sz w:val="36"/>
          <w:szCs w:val="20"/>
          <w:lang w:val="en-GB" w:eastAsia="en-GB"/>
        </w:rPr>
        <w:t>Discussion</w:t>
      </w:r>
    </w:p>
    <w:p w14:paraId="3003C296" w14:textId="77777777" w:rsidR="002C2AE0" w:rsidRPr="00770499" w:rsidRDefault="001A18B2" w:rsidP="00203718">
      <w:pPr>
        <w:keepNext/>
        <w:widowControl w:val="0"/>
        <w:numPr>
          <w:ilvl w:val="1"/>
          <w:numId w:val="2"/>
        </w:numPr>
        <w:spacing w:before="180" w:after="180"/>
        <w:jc w:val="both"/>
        <w:outlineLvl w:val="1"/>
        <w:rPr>
          <w:rFonts w:ascii="Arial" w:hAnsi="Arial" w:cs="Arial"/>
          <w:sz w:val="32"/>
          <w:szCs w:val="32"/>
        </w:rPr>
      </w:pPr>
      <w:r w:rsidRPr="00770499">
        <w:rPr>
          <w:rFonts w:ascii="Arial" w:hAnsi="Arial" w:cs="Arial"/>
          <w:sz w:val="32"/>
          <w:szCs w:val="32"/>
        </w:rPr>
        <w:t xml:space="preserve">RAN2 </w:t>
      </w:r>
      <w:r w:rsidR="00C113BE" w:rsidRPr="00770499">
        <w:rPr>
          <w:rFonts w:ascii="Arial" w:hAnsi="Arial" w:cs="Arial"/>
          <w:sz w:val="32"/>
          <w:szCs w:val="32"/>
        </w:rPr>
        <w:t>P</w:t>
      </w:r>
      <w:r w:rsidRPr="00770499">
        <w:rPr>
          <w:rFonts w:ascii="Arial" w:hAnsi="Arial" w:cs="Arial"/>
          <w:sz w:val="32"/>
          <w:szCs w:val="32"/>
        </w:rPr>
        <w:t>rogress</w:t>
      </w:r>
    </w:p>
    <w:p w14:paraId="1B4CC797" w14:textId="77777777" w:rsidR="002C2AE0" w:rsidRDefault="001A18B2">
      <w:pPr>
        <w:jc w:val="both"/>
        <w:rPr>
          <w:bCs/>
          <w:sz w:val="21"/>
          <w:szCs w:val="21"/>
        </w:rPr>
      </w:pPr>
      <w:r>
        <w:rPr>
          <w:rFonts w:hint="eastAsia"/>
          <w:bCs/>
          <w:sz w:val="21"/>
          <w:szCs w:val="21"/>
        </w:rPr>
        <w:t xml:space="preserve">In the RAN2#119 meeting, the following agreements have been reached for </w:t>
      </w:r>
      <w:r>
        <w:rPr>
          <w:rFonts w:hint="eastAsia"/>
          <w:bCs/>
          <w:sz w:val="21"/>
          <w:szCs w:val="21"/>
          <w:lang w:eastAsia="en-US"/>
        </w:rPr>
        <w:t>NR-DC with selective activation</w:t>
      </w:r>
      <w:r>
        <w:rPr>
          <w:rFonts w:hint="eastAsia"/>
          <w:bCs/>
          <w:sz w:val="21"/>
          <w:szCs w:val="21"/>
        </w:rPr>
        <w:t>.</w:t>
      </w:r>
    </w:p>
    <w:tbl>
      <w:tblPr>
        <w:tblStyle w:val="TableGrid"/>
        <w:tblW w:w="0" w:type="auto"/>
        <w:tblLook w:val="04A0" w:firstRow="1" w:lastRow="0" w:firstColumn="1" w:lastColumn="0" w:noHBand="0" w:noVBand="1"/>
      </w:tblPr>
      <w:tblGrid>
        <w:gridCol w:w="9288"/>
      </w:tblGrid>
      <w:tr w:rsidR="00203718" w14:paraId="6A2200D9" w14:textId="77777777" w:rsidTr="00203718">
        <w:tc>
          <w:tcPr>
            <w:tcW w:w="9288" w:type="dxa"/>
          </w:tcPr>
          <w:p w14:paraId="6B91B030" w14:textId="77777777" w:rsidR="00203718" w:rsidRPr="00A4737D" w:rsidRDefault="00203718" w:rsidP="00203718">
            <w:pPr>
              <w:pStyle w:val="Agreement"/>
              <w:numPr>
                <w:ilvl w:val="0"/>
                <w:numId w:val="6"/>
              </w:numPr>
              <w:spacing w:after="100" w:afterAutospacing="1"/>
              <w:rPr>
                <w:sz w:val="20"/>
                <w:szCs w:val="20"/>
              </w:rPr>
            </w:pPr>
            <w:r w:rsidRPr="00A4737D">
              <w:rPr>
                <w:sz w:val="20"/>
                <w:szCs w:val="20"/>
              </w:rPr>
              <w:t xml:space="preserve">The selective activation of cell groups should correspond to support of subsequent conditional changes (CPC) after a cell group change (normal or conditional). CPA FFS. </w:t>
            </w:r>
          </w:p>
          <w:p w14:paraId="4F211474" w14:textId="77777777" w:rsidR="00203718" w:rsidRPr="00A4737D" w:rsidRDefault="00203718" w:rsidP="00203718">
            <w:pPr>
              <w:pStyle w:val="Agreement"/>
              <w:numPr>
                <w:ilvl w:val="0"/>
                <w:numId w:val="6"/>
              </w:numPr>
              <w:spacing w:after="100" w:afterAutospacing="1"/>
              <w:rPr>
                <w:sz w:val="20"/>
                <w:szCs w:val="20"/>
              </w:rPr>
            </w:pPr>
            <w:r w:rsidRPr="00A4737D">
              <w:rPr>
                <w:sz w:val="20"/>
                <w:szCs w:val="20"/>
              </w:rPr>
              <w:t>Initial focus on SCG</w:t>
            </w:r>
          </w:p>
          <w:p w14:paraId="431A7916" w14:textId="77777777" w:rsidR="00203718" w:rsidRPr="00A4737D" w:rsidRDefault="00203718" w:rsidP="00203718">
            <w:pPr>
              <w:pStyle w:val="Agreement"/>
              <w:numPr>
                <w:ilvl w:val="0"/>
                <w:numId w:val="6"/>
              </w:numPr>
              <w:spacing w:after="100" w:afterAutospacing="1"/>
              <w:rPr>
                <w:sz w:val="20"/>
                <w:szCs w:val="20"/>
              </w:rPr>
            </w:pPr>
            <w:r w:rsidRPr="00A4737D">
              <w:rPr>
                <w:sz w:val="20"/>
                <w:szCs w:val="20"/>
              </w:rPr>
              <w:t>There is interest to support delta configuration, to reduce the signalling overhead (FFS if some other objective should be achieved)</w:t>
            </w:r>
          </w:p>
          <w:p w14:paraId="69A41DC0" w14:textId="77777777" w:rsidR="00203718" w:rsidRPr="00A4737D" w:rsidRDefault="00203718" w:rsidP="00203718">
            <w:pPr>
              <w:pStyle w:val="Agreement"/>
              <w:numPr>
                <w:ilvl w:val="0"/>
                <w:numId w:val="6"/>
              </w:numPr>
              <w:spacing w:after="100" w:afterAutospacing="1"/>
              <w:rPr>
                <w:sz w:val="20"/>
                <w:szCs w:val="20"/>
              </w:rPr>
            </w:pPr>
            <w:r w:rsidRPr="00A4737D">
              <w:rPr>
                <w:sz w:val="20"/>
                <w:szCs w:val="20"/>
              </w:rPr>
              <w:t xml:space="preserve">FFS how many subsequent conditional changes are targeted (and what is the impact of such assumption). </w:t>
            </w:r>
          </w:p>
          <w:p w14:paraId="58164A02" w14:textId="77777777" w:rsidR="00203718" w:rsidRPr="00203718" w:rsidRDefault="00203718" w:rsidP="00203718">
            <w:pPr>
              <w:pStyle w:val="Agreement"/>
              <w:numPr>
                <w:ilvl w:val="0"/>
                <w:numId w:val="6"/>
              </w:numPr>
              <w:spacing w:after="100" w:afterAutospacing="1"/>
            </w:pPr>
            <w:r w:rsidRPr="00A4737D">
              <w:rPr>
                <w:sz w:val="20"/>
                <w:szCs w:val="20"/>
              </w:rPr>
              <w:t>FFS whether there is a security issue: e.g. to determine vertical or horizontal key derivation, e.g. security parameters re-used as part of subsequent CG switch (for the case when UE goes back to a previous cell, maybe in another SN), and FFS on the procedure/method with which the UE derives the SN security, e.g. based on a prior MN config (without RRC CPC config at the time of SN switch).</w:t>
            </w:r>
          </w:p>
        </w:tc>
      </w:tr>
    </w:tbl>
    <w:p w14:paraId="358761AB" w14:textId="7BF7FCBD" w:rsidR="002C2AE0" w:rsidRDefault="001A18B2">
      <w:pPr>
        <w:jc w:val="both"/>
        <w:rPr>
          <w:bCs/>
          <w:sz w:val="21"/>
          <w:szCs w:val="21"/>
        </w:rPr>
      </w:pPr>
      <w:r>
        <w:rPr>
          <w:rFonts w:hint="eastAsia"/>
          <w:bCs/>
          <w:sz w:val="21"/>
          <w:szCs w:val="21"/>
        </w:rPr>
        <w:lastRenderedPageBreak/>
        <w:t xml:space="preserve">According to the RAN2 agreements, RAN2 decides to </w:t>
      </w:r>
      <w:r w:rsidRPr="00C06BE6">
        <w:rPr>
          <w:bCs/>
          <w:iCs/>
          <w:sz w:val="21"/>
          <w:szCs w:val="21"/>
        </w:rPr>
        <w:t>initial</w:t>
      </w:r>
      <w:r w:rsidR="00A4737D" w:rsidRPr="00C06BE6">
        <w:rPr>
          <w:bCs/>
          <w:iCs/>
          <w:sz w:val="21"/>
          <w:szCs w:val="21"/>
        </w:rPr>
        <w:t>ly</w:t>
      </w:r>
      <w:r w:rsidRPr="00C06BE6">
        <w:rPr>
          <w:bCs/>
          <w:iCs/>
          <w:sz w:val="21"/>
          <w:szCs w:val="21"/>
        </w:rPr>
        <w:t xml:space="preserve"> focus on SCG</w:t>
      </w:r>
      <w:r>
        <w:rPr>
          <w:rFonts w:hint="eastAsia"/>
          <w:bCs/>
          <w:sz w:val="21"/>
          <w:szCs w:val="21"/>
        </w:rPr>
        <w:t>. This is align</w:t>
      </w:r>
      <w:r w:rsidR="00A4737D">
        <w:rPr>
          <w:bCs/>
          <w:sz w:val="21"/>
          <w:szCs w:val="21"/>
        </w:rPr>
        <w:t>ed</w:t>
      </w:r>
      <w:r>
        <w:rPr>
          <w:rFonts w:hint="eastAsia"/>
          <w:bCs/>
          <w:sz w:val="21"/>
          <w:szCs w:val="21"/>
        </w:rPr>
        <w:t xml:space="preserve"> with the RAN3</w:t>
      </w:r>
      <w:r>
        <w:rPr>
          <w:bCs/>
          <w:sz w:val="21"/>
          <w:szCs w:val="21"/>
        </w:rPr>
        <w:t>’</w:t>
      </w:r>
      <w:r>
        <w:rPr>
          <w:rFonts w:hint="eastAsia"/>
          <w:bCs/>
          <w:sz w:val="21"/>
          <w:szCs w:val="21"/>
        </w:rPr>
        <w:t xml:space="preserve">s assumption that </w:t>
      </w:r>
      <w:r>
        <w:rPr>
          <w:bCs/>
          <w:i/>
          <w:iCs/>
          <w:sz w:val="21"/>
          <w:szCs w:val="21"/>
        </w:rPr>
        <w:t>RAN3 considers SCG selective activation is prioritized in the Rel-18 work. It can be revisited based on RAN2 progress.</w:t>
      </w:r>
      <w:r>
        <w:rPr>
          <w:rFonts w:hint="eastAsia"/>
          <w:bCs/>
          <w:i/>
          <w:iCs/>
          <w:sz w:val="21"/>
          <w:szCs w:val="21"/>
        </w:rPr>
        <w:t xml:space="preserve"> </w:t>
      </w:r>
      <w:r>
        <w:rPr>
          <w:rFonts w:hint="eastAsia"/>
          <w:bCs/>
          <w:sz w:val="21"/>
          <w:szCs w:val="21"/>
        </w:rPr>
        <w:t>Hence, we have the following proposal:</w:t>
      </w:r>
    </w:p>
    <w:p w14:paraId="25BAB8FC" w14:textId="77777777" w:rsidR="002C2AE0" w:rsidRDefault="001A18B2">
      <w:pPr>
        <w:pStyle w:val="Proposal"/>
        <w:numPr>
          <w:ilvl w:val="0"/>
          <w:numId w:val="3"/>
        </w:numPr>
        <w:tabs>
          <w:tab w:val="clear" w:pos="1304"/>
        </w:tabs>
        <w:ind w:left="1701" w:hanging="1701"/>
      </w:pPr>
      <w:r>
        <w:rPr>
          <w:rFonts w:ascii="Times New Roman" w:eastAsia="宋体" w:hAnsi="Times New Roman" w:hint="eastAsia"/>
          <w:lang w:val="en-US" w:eastAsia="zh-CN"/>
        </w:rPr>
        <w:t xml:space="preserve">RAN3 confirms that </w:t>
      </w:r>
      <w:r>
        <w:rPr>
          <w:rFonts w:ascii="Times New Roman" w:hAnsi="Times New Roman"/>
          <w:sz w:val="21"/>
          <w:szCs w:val="21"/>
          <w:lang w:val="en-US" w:eastAsia="zh-CN"/>
        </w:rPr>
        <w:t>SCG selective activation is prioritized in the Rel-18 work</w:t>
      </w:r>
      <w:r>
        <w:rPr>
          <w:rFonts w:ascii="Times New Roman" w:eastAsia="宋体" w:hAnsi="Times New Roman"/>
        </w:rPr>
        <w:t>.</w:t>
      </w:r>
    </w:p>
    <w:p w14:paraId="0757698D" w14:textId="77777777" w:rsidR="002C2AE0" w:rsidRDefault="001A18B2">
      <w:pPr>
        <w:jc w:val="both"/>
        <w:rPr>
          <w:bCs/>
          <w:sz w:val="21"/>
          <w:szCs w:val="21"/>
        </w:rPr>
      </w:pPr>
      <w:r>
        <w:rPr>
          <w:rFonts w:hint="eastAsia"/>
          <w:bCs/>
          <w:sz w:val="21"/>
          <w:szCs w:val="21"/>
        </w:rPr>
        <w:t xml:space="preserve">Currently, </w:t>
      </w:r>
      <w:r>
        <w:rPr>
          <w:bCs/>
          <w:sz w:val="21"/>
          <w:szCs w:val="21"/>
        </w:rPr>
        <w:t>delta configuration</w:t>
      </w:r>
      <w:r>
        <w:rPr>
          <w:rFonts w:hint="eastAsia"/>
          <w:bCs/>
          <w:sz w:val="21"/>
          <w:szCs w:val="21"/>
        </w:rPr>
        <w:t xml:space="preserve"> is widely used during handover procedure. The network </w:t>
      </w:r>
      <w:r w:rsidR="00203718">
        <w:rPr>
          <w:bCs/>
          <w:sz w:val="21"/>
          <w:szCs w:val="21"/>
        </w:rPr>
        <w:t>provides</w:t>
      </w:r>
      <w:r>
        <w:rPr>
          <w:rFonts w:hint="eastAsia"/>
          <w:bCs/>
          <w:sz w:val="21"/>
          <w:szCs w:val="21"/>
        </w:rPr>
        <w:t xml:space="preserve"> the </w:t>
      </w:r>
      <w:r>
        <w:rPr>
          <w:bCs/>
          <w:sz w:val="21"/>
          <w:szCs w:val="21"/>
        </w:rPr>
        <w:t>delta configuration</w:t>
      </w:r>
      <w:r>
        <w:rPr>
          <w:rFonts w:hint="eastAsia"/>
          <w:bCs/>
          <w:sz w:val="21"/>
          <w:szCs w:val="21"/>
        </w:rPr>
        <w:t xml:space="preserve"> of </w:t>
      </w:r>
      <w:r w:rsidR="002E2E86">
        <w:rPr>
          <w:bCs/>
          <w:sz w:val="21"/>
          <w:szCs w:val="21"/>
        </w:rPr>
        <w:t xml:space="preserve">the </w:t>
      </w:r>
      <w:r>
        <w:rPr>
          <w:rFonts w:hint="eastAsia"/>
          <w:bCs/>
          <w:sz w:val="21"/>
          <w:szCs w:val="21"/>
        </w:rPr>
        <w:t xml:space="preserve">target cell to UE based on the configuration of </w:t>
      </w:r>
      <w:r w:rsidR="002E2E86">
        <w:rPr>
          <w:bCs/>
          <w:sz w:val="21"/>
          <w:szCs w:val="21"/>
        </w:rPr>
        <w:t xml:space="preserve">the </w:t>
      </w:r>
      <w:r>
        <w:rPr>
          <w:rFonts w:hint="eastAsia"/>
          <w:bCs/>
          <w:sz w:val="21"/>
          <w:szCs w:val="21"/>
        </w:rPr>
        <w:t xml:space="preserve">serving cell </w:t>
      </w:r>
      <w:r>
        <w:rPr>
          <w:bCs/>
          <w:sz w:val="21"/>
          <w:szCs w:val="21"/>
        </w:rPr>
        <w:t xml:space="preserve">to reduce the </w:t>
      </w:r>
      <w:r w:rsidR="002E2E86">
        <w:rPr>
          <w:bCs/>
          <w:sz w:val="21"/>
          <w:szCs w:val="21"/>
        </w:rPr>
        <w:t>signaling</w:t>
      </w:r>
      <w:r>
        <w:rPr>
          <w:bCs/>
          <w:sz w:val="21"/>
          <w:szCs w:val="21"/>
        </w:rPr>
        <w:t xml:space="preserve"> overhead</w:t>
      </w:r>
      <w:r>
        <w:rPr>
          <w:rFonts w:hint="eastAsia"/>
          <w:bCs/>
          <w:sz w:val="21"/>
          <w:szCs w:val="21"/>
        </w:rPr>
        <w:t xml:space="preserve">, i.e. only the parameters with different values for source and target cell are </w:t>
      </w:r>
      <w:r w:rsidR="00203718">
        <w:rPr>
          <w:bCs/>
          <w:sz w:val="21"/>
          <w:szCs w:val="21"/>
        </w:rPr>
        <w:t>signaled</w:t>
      </w:r>
      <w:r>
        <w:rPr>
          <w:rFonts w:hint="eastAsia"/>
          <w:bCs/>
          <w:sz w:val="21"/>
          <w:szCs w:val="21"/>
        </w:rPr>
        <w:t xml:space="preserve"> via Uu to UE. In </w:t>
      </w:r>
      <w:r w:rsidR="002E2E86">
        <w:rPr>
          <w:bCs/>
          <w:sz w:val="21"/>
          <w:szCs w:val="21"/>
        </w:rPr>
        <w:t xml:space="preserve">the </w:t>
      </w:r>
      <w:r>
        <w:rPr>
          <w:rFonts w:hint="eastAsia"/>
          <w:bCs/>
          <w:sz w:val="21"/>
          <w:szCs w:val="21"/>
        </w:rPr>
        <w:t>legacy handover procedure, when UE is handed over from cell A to cell B</w:t>
      </w:r>
      <w:r w:rsidR="002E2E86">
        <w:rPr>
          <w:bCs/>
          <w:sz w:val="21"/>
          <w:szCs w:val="21"/>
        </w:rPr>
        <w:t>,</w:t>
      </w:r>
      <w:r>
        <w:rPr>
          <w:rFonts w:hint="eastAsia"/>
          <w:bCs/>
          <w:sz w:val="21"/>
          <w:szCs w:val="21"/>
        </w:rPr>
        <w:t xml:space="preserve"> </w:t>
      </w:r>
      <w:r w:rsidR="002E2E86">
        <w:rPr>
          <w:bCs/>
          <w:sz w:val="21"/>
          <w:szCs w:val="21"/>
        </w:rPr>
        <w:t>t</w:t>
      </w:r>
      <w:r>
        <w:rPr>
          <w:rFonts w:hint="eastAsia"/>
          <w:bCs/>
          <w:sz w:val="21"/>
          <w:szCs w:val="21"/>
        </w:rPr>
        <w:t xml:space="preserve">he network </w:t>
      </w:r>
      <w:r w:rsidR="00203718">
        <w:rPr>
          <w:bCs/>
          <w:sz w:val="21"/>
          <w:szCs w:val="21"/>
        </w:rPr>
        <w:t>provides</w:t>
      </w:r>
      <w:r>
        <w:rPr>
          <w:rFonts w:hint="eastAsia"/>
          <w:bCs/>
          <w:sz w:val="21"/>
          <w:szCs w:val="21"/>
        </w:rPr>
        <w:t xml:space="preserve"> </w:t>
      </w:r>
      <w:r w:rsidR="002E2E86">
        <w:rPr>
          <w:bCs/>
          <w:sz w:val="21"/>
          <w:szCs w:val="21"/>
        </w:rPr>
        <w:t xml:space="preserve">a </w:t>
      </w:r>
      <w:r>
        <w:rPr>
          <w:rFonts w:hint="eastAsia"/>
          <w:bCs/>
          <w:sz w:val="21"/>
          <w:szCs w:val="21"/>
        </w:rPr>
        <w:t xml:space="preserve">delta configuration of Cell B based on </w:t>
      </w:r>
      <w:r w:rsidR="002E2E86">
        <w:rPr>
          <w:bCs/>
          <w:sz w:val="21"/>
          <w:szCs w:val="21"/>
        </w:rPr>
        <w:t>C</w:t>
      </w:r>
      <w:r>
        <w:rPr>
          <w:rFonts w:hint="eastAsia"/>
          <w:bCs/>
          <w:sz w:val="21"/>
          <w:szCs w:val="21"/>
        </w:rPr>
        <w:t>ell A</w:t>
      </w:r>
      <w:r>
        <w:rPr>
          <w:bCs/>
          <w:sz w:val="21"/>
          <w:szCs w:val="21"/>
        </w:rPr>
        <w:t>’</w:t>
      </w:r>
      <w:r>
        <w:rPr>
          <w:rFonts w:hint="eastAsia"/>
          <w:bCs/>
          <w:sz w:val="21"/>
          <w:szCs w:val="21"/>
        </w:rPr>
        <w:t xml:space="preserve">s configuration. And upon reception </w:t>
      </w:r>
      <w:r w:rsidR="002E2E86">
        <w:rPr>
          <w:bCs/>
          <w:sz w:val="21"/>
          <w:szCs w:val="21"/>
        </w:rPr>
        <w:t xml:space="preserve">of </w:t>
      </w:r>
      <w:r>
        <w:rPr>
          <w:rFonts w:hint="eastAsia"/>
          <w:bCs/>
          <w:sz w:val="21"/>
          <w:szCs w:val="21"/>
        </w:rPr>
        <w:t xml:space="preserve">the configuration of Cell B in serving </w:t>
      </w:r>
      <w:r w:rsidR="00203718">
        <w:rPr>
          <w:bCs/>
          <w:sz w:val="21"/>
          <w:szCs w:val="21"/>
        </w:rPr>
        <w:t>cell (</w:t>
      </w:r>
      <w:r>
        <w:rPr>
          <w:rFonts w:hint="eastAsia"/>
          <w:bCs/>
          <w:sz w:val="21"/>
          <w:szCs w:val="21"/>
        </w:rPr>
        <w:t xml:space="preserve">Cell A), UE applies the delta configuration based on </w:t>
      </w:r>
      <w:r w:rsidR="002E2E86">
        <w:rPr>
          <w:bCs/>
          <w:sz w:val="21"/>
          <w:szCs w:val="21"/>
        </w:rPr>
        <w:t>C</w:t>
      </w:r>
      <w:r>
        <w:rPr>
          <w:rFonts w:hint="eastAsia"/>
          <w:bCs/>
          <w:sz w:val="21"/>
          <w:szCs w:val="21"/>
        </w:rPr>
        <w:t>ell A</w:t>
      </w:r>
      <w:r>
        <w:rPr>
          <w:bCs/>
          <w:sz w:val="21"/>
          <w:szCs w:val="21"/>
        </w:rPr>
        <w:t>’</w:t>
      </w:r>
      <w:r>
        <w:rPr>
          <w:rFonts w:hint="eastAsia"/>
          <w:bCs/>
          <w:sz w:val="21"/>
          <w:szCs w:val="21"/>
        </w:rPr>
        <w:t>s configuration. There is no ambiguity.</w:t>
      </w:r>
    </w:p>
    <w:p w14:paraId="3F78FD12" w14:textId="296A32B9" w:rsidR="002C2AE0" w:rsidRDefault="001A18B2">
      <w:pPr>
        <w:jc w:val="both"/>
        <w:rPr>
          <w:bCs/>
          <w:sz w:val="21"/>
          <w:szCs w:val="21"/>
        </w:rPr>
      </w:pPr>
      <w:r>
        <w:rPr>
          <w:rFonts w:hint="eastAsia"/>
          <w:bCs/>
          <w:sz w:val="21"/>
          <w:szCs w:val="21"/>
        </w:rPr>
        <w:t xml:space="preserve">In the RAN2 discussion, some companies think </w:t>
      </w:r>
      <w:r w:rsidR="001030C7">
        <w:rPr>
          <w:bCs/>
          <w:sz w:val="21"/>
          <w:szCs w:val="21"/>
        </w:rPr>
        <w:t>this</w:t>
      </w:r>
      <w:r>
        <w:rPr>
          <w:rFonts w:hint="eastAsia"/>
          <w:bCs/>
          <w:sz w:val="21"/>
          <w:szCs w:val="21"/>
        </w:rPr>
        <w:t xml:space="preserve"> is different for </w:t>
      </w:r>
      <w:r>
        <w:rPr>
          <w:rFonts w:hint="eastAsia"/>
          <w:bCs/>
          <w:sz w:val="21"/>
          <w:szCs w:val="21"/>
          <w:lang w:eastAsia="en-US"/>
        </w:rPr>
        <w:t>NR-DC with selective activation</w:t>
      </w:r>
      <w:r>
        <w:rPr>
          <w:rFonts w:hint="eastAsia"/>
          <w:bCs/>
          <w:sz w:val="21"/>
          <w:szCs w:val="21"/>
        </w:rPr>
        <w:t xml:space="preserve">. A conditional reconfiguration for </w:t>
      </w:r>
      <w:r w:rsidR="002E2E86">
        <w:rPr>
          <w:bCs/>
          <w:sz w:val="21"/>
          <w:szCs w:val="21"/>
        </w:rPr>
        <w:t xml:space="preserve">the </w:t>
      </w:r>
      <w:r>
        <w:rPr>
          <w:rFonts w:hint="eastAsia"/>
          <w:bCs/>
          <w:sz w:val="21"/>
          <w:szCs w:val="21"/>
        </w:rPr>
        <w:t xml:space="preserve">target </w:t>
      </w:r>
      <w:r w:rsidR="00203718">
        <w:rPr>
          <w:bCs/>
          <w:sz w:val="21"/>
          <w:szCs w:val="21"/>
        </w:rPr>
        <w:t>cell (</w:t>
      </w:r>
      <w:r>
        <w:rPr>
          <w:rFonts w:hint="eastAsia"/>
          <w:bCs/>
          <w:sz w:val="21"/>
          <w:szCs w:val="21"/>
        </w:rPr>
        <w:t>e.g. Cell</w:t>
      </w:r>
      <w:r w:rsidR="001030C7">
        <w:rPr>
          <w:bCs/>
          <w:sz w:val="21"/>
          <w:szCs w:val="21"/>
        </w:rPr>
        <w:t xml:space="preserve"> </w:t>
      </w:r>
      <w:r>
        <w:rPr>
          <w:rFonts w:hint="eastAsia"/>
          <w:bCs/>
          <w:sz w:val="21"/>
          <w:szCs w:val="21"/>
        </w:rPr>
        <w:t>B) may be received by UE while it is</w:t>
      </w:r>
      <w:r w:rsidR="001030C7">
        <w:rPr>
          <w:bCs/>
          <w:sz w:val="21"/>
          <w:szCs w:val="21"/>
        </w:rPr>
        <w:t xml:space="preserve"> being</w:t>
      </w:r>
      <w:r>
        <w:rPr>
          <w:rFonts w:hint="eastAsia"/>
          <w:bCs/>
          <w:sz w:val="21"/>
          <w:szCs w:val="21"/>
        </w:rPr>
        <w:t xml:space="preserve"> serv</w:t>
      </w:r>
      <w:r w:rsidR="001030C7">
        <w:rPr>
          <w:bCs/>
          <w:sz w:val="21"/>
          <w:szCs w:val="21"/>
        </w:rPr>
        <w:t>ed</w:t>
      </w:r>
      <w:r>
        <w:rPr>
          <w:rFonts w:hint="eastAsia"/>
          <w:bCs/>
          <w:sz w:val="21"/>
          <w:szCs w:val="21"/>
        </w:rPr>
        <w:t xml:space="preserve"> by Cell</w:t>
      </w:r>
      <w:r w:rsidR="001030C7">
        <w:rPr>
          <w:bCs/>
          <w:sz w:val="21"/>
          <w:szCs w:val="21"/>
        </w:rPr>
        <w:t xml:space="preserve"> </w:t>
      </w:r>
      <w:r>
        <w:rPr>
          <w:rFonts w:hint="eastAsia"/>
          <w:bCs/>
          <w:sz w:val="21"/>
          <w:szCs w:val="21"/>
        </w:rPr>
        <w:t>A, hence the network may provide the configuration of Cell</w:t>
      </w:r>
      <w:r w:rsidR="001030C7">
        <w:rPr>
          <w:bCs/>
          <w:sz w:val="21"/>
          <w:szCs w:val="21"/>
        </w:rPr>
        <w:t xml:space="preserve"> </w:t>
      </w:r>
      <w:r>
        <w:rPr>
          <w:rFonts w:hint="eastAsia"/>
          <w:bCs/>
          <w:sz w:val="21"/>
          <w:szCs w:val="21"/>
        </w:rPr>
        <w:t>B with delta configuration based on Cell</w:t>
      </w:r>
      <w:r w:rsidR="007D085C">
        <w:rPr>
          <w:bCs/>
          <w:sz w:val="21"/>
          <w:szCs w:val="21"/>
        </w:rPr>
        <w:t xml:space="preserve"> </w:t>
      </w:r>
      <w:r>
        <w:rPr>
          <w:rFonts w:hint="eastAsia"/>
          <w:bCs/>
          <w:sz w:val="21"/>
          <w:szCs w:val="21"/>
        </w:rPr>
        <w:t>A</w:t>
      </w:r>
      <w:r>
        <w:rPr>
          <w:bCs/>
          <w:sz w:val="21"/>
          <w:szCs w:val="21"/>
        </w:rPr>
        <w:t>’</w:t>
      </w:r>
      <w:r>
        <w:rPr>
          <w:rFonts w:hint="eastAsia"/>
          <w:bCs/>
          <w:sz w:val="21"/>
          <w:szCs w:val="21"/>
        </w:rPr>
        <w:t>s configuration. But UE may apply the configuration of Cell</w:t>
      </w:r>
      <w:r w:rsidR="001030C7">
        <w:rPr>
          <w:bCs/>
          <w:sz w:val="21"/>
          <w:szCs w:val="21"/>
        </w:rPr>
        <w:t xml:space="preserve"> </w:t>
      </w:r>
      <w:r>
        <w:rPr>
          <w:rFonts w:hint="eastAsia"/>
          <w:bCs/>
          <w:sz w:val="21"/>
          <w:szCs w:val="21"/>
        </w:rPr>
        <w:t xml:space="preserve">B while it is </w:t>
      </w:r>
      <w:r w:rsidR="001030C7">
        <w:rPr>
          <w:bCs/>
          <w:sz w:val="21"/>
          <w:szCs w:val="21"/>
        </w:rPr>
        <w:t xml:space="preserve">being </w:t>
      </w:r>
      <w:r>
        <w:rPr>
          <w:rFonts w:hint="eastAsia"/>
          <w:bCs/>
          <w:sz w:val="21"/>
          <w:szCs w:val="21"/>
        </w:rPr>
        <w:t>serv</w:t>
      </w:r>
      <w:r w:rsidR="001030C7">
        <w:rPr>
          <w:bCs/>
          <w:sz w:val="21"/>
          <w:szCs w:val="21"/>
        </w:rPr>
        <w:t>ed</w:t>
      </w:r>
      <w:r>
        <w:rPr>
          <w:rFonts w:hint="eastAsia"/>
          <w:bCs/>
          <w:sz w:val="21"/>
          <w:szCs w:val="21"/>
        </w:rPr>
        <w:t xml:space="preserve"> by Cell</w:t>
      </w:r>
      <w:r w:rsidR="001030C7">
        <w:rPr>
          <w:bCs/>
          <w:sz w:val="21"/>
          <w:szCs w:val="21"/>
        </w:rPr>
        <w:t xml:space="preserve"> </w:t>
      </w:r>
      <w:r>
        <w:rPr>
          <w:rFonts w:hint="eastAsia"/>
          <w:bCs/>
          <w:sz w:val="21"/>
          <w:szCs w:val="21"/>
        </w:rPr>
        <w:t xml:space="preserve">C, i.e. UE applies the delta configuration based on </w:t>
      </w:r>
      <w:r w:rsidR="002E2E86">
        <w:rPr>
          <w:bCs/>
          <w:sz w:val="21"/>
          <w:szCs w:val="21"/>
        </w:rPr>
        <w:t>C</w:t>
      </w:r>
      <w:r>
        <w:rPr>
          <w:rFonts w:hint="eastAsia"/>
          <w:bCs/>
          <w:sz w:val="21"/>
          <w:szCs w:val="21"/>
        </w:rPr>
        <w:t>ell C</w:t>
      </w:r>
      <w:r>
        <w:rPr>
          <w:bCs/>
          <w:sz w:val="21"/>
          <w:szCs w:val="21"/>
        </w:rPr>
        <w:t>’</w:t>
      </w:r>
      <w:r>
        <w:rPr>
          <w:rFonts w:hint="eastAsia"/>
          <w:bCs/>
          <w:sz w:val="21"/>
          <w:szCs w:val="21"/>
        </w:rPr>
        <w:t>s configuration. A mismatch of configuration for Cell</w:t>
      </w:r>
      <w:r w:rsidR="001030C7">
        <w:rPr>
          <w:bCs/>
          <w:sz w:val="21"/>
          <w:szCs w:val="21"/>
        </w:rPr>
        <w:t xml:space="preserve"> </w:t>
      </w:r>
      <w:r>
        <w:rPr>
          <w:rFonts w:hint="eastAsia"/>
          <w:bCs/>
          <w:sz w:val="21"/>
          <w:szCs w:val="21"/>
        </w:rPr>
        <w:t xml:space="preserve">B occurs between </w:t>
      </w:r>
      <w:r w:rsidR="002E2E86">
        <w:rPr>
          <w:bCs/>
          <w:sz w:val="21"/>
          <w:szCs w:val="21"/>
        </w:rPr>
        <w:t xml:space="preserve">the </w:t>
      </w:r>
      <w:r>
        <w:rPr>
          <w:rFonts w:hint="eastAsia"/>
          <w:bCs/>
          <w:sz w:val="21"/>
          <w:szCs w:val="21"/>
        </w:rPr>
        <w:t xml:space="preserve">network and UE. Hence, </w:t>
      </w:r>
      <w:r w:rsidR="00203718">
        <w:rPr>
          <w:bCs/>
          <w:sz w:val="21"/>
          <w:szCs w:val="21"/>
          <w:lang w:eastAsia="en-US"/>
        </w:rPr>
        <w:t>without enhancement</w:t>
      </w:r>
      <w:r w:rsidR="00203718">
        <w:rPr>
          <w:bCs/>
          <w:sz w:val="21"/>
          <w:szCs w:val="21"/>
        </w:rPr>
        <w:t xml:space="preserve">, </w:t>
      </w:r>
      <w:r w:rsidR="001030C7">
        <w:rPr>
          <w:rFonts w:hint="eastAsia"/>
          <w:bCs/>
          <w:sz w:val="21"/>
          <w:szCs w:val="21"/>
        </w:rPr>
        <w:t xml:space="preserve">seems </w:t>
      </w:r>
      <w:r>
        <w:rPr>
          <w:rFonts w:hint="eastAsia"/>
          <w:bCs/>
          <w:sz w:val="21"/>
          <w:szCs w:val="21"/>
        </w:rPr>
        <w:t xml:space="preserve">delta </w:t>
      </w:r>
      <w:r>
        <w:rPr>
          <w:bCs/>
          <w:sz w:val="21"/>
          <w:szCs w:val="21"/>
        </w:rPr>
        <w:t>configuration</w:t>
      </w:r>
      <w:r>
        <w:rPr>
          <w:rFonts w:hint="eastAsia"/>
          <w:bCs/>
          <w:sz w:val="21"/>
          <w:szCs w:val="21"/>
        </w:rPr>
        <w:t xml:space="preserve"> </w:t>
      </w:r>
      <w:r w:rsidR="00203718">
        <w:rPr>
          <w:bCs/>
          <w:sz w:val="21"/>
          <w:szCs w:val="21"/>
        </w:rPr>
        <w:t>cannot be reused</w:t>
      </w:r>
      <w:r>
        <w:rPr>
          <w:rFonts w:hint="eastAsia"/>
          <w:bCs/>
          <w:sz w:val="21"/>
          <w:szCs w:val="21"/>
        </w:rPr>
        <w:t xml:space="preserve"> in the </w:t>
      </w:r>
      <w:r>
        <w:rPr>
          <w:rFonts w:hint="eastAsia"/>
          <w:bCs/>
          <w:sz w:val="21"/>
          <w:szCs w:val="21"/>
          <w:lang w:eastAsia="en-US"/>
        </w:rPr>
        <w:t>NR-DC with selective activation</w:t>
      </w:r>
      <w:r>
        <w:rPr>
          <w:rFonts w:hint="eastAsia"/>
          <w:bCs/>
          <w:sz w:val="21"/>
          <w:szCs w:val="21"/>
        </w:rPr>
        <w:t xml:space="preserve">. Therefore, in the RAN2 agreements, </w:t>
      </w:r>
      <w:r>
        <w:rPr>
          <w:bCs/>
          <w:sz w:val="21"/>
          <w:szCs w:val="21"/>
        </w:rPr>
        <w:t>interest to</w:t>
      </w:r>
      <w:r>
        <w:rPr>
          <w:rFonts w:hint="eastAsia"/>
          <w:bCs/>
          <w:sz w:val="21"/>
          <w:szCs w:val="21"/>
        </w:rPr>
        <w:t xml:space="preserve"> </w:t>
      </w:r>
      <w:r>
        <w:rPr>
          <w:bCs/>
          <w:sz w:val="21"/>
          <w:szCs w:val="21"/>
        </w:rPr>
        <w:t>support delta configuration</w:t>
      </w:r>
      <w:r>
        <w:rPr>
          <w:rFonts w:hint="eastAsia"/>
          <w:bCs/>
          <w:sz w:val="21"/>
          <w:szCs w:val="21"/>
        </w:rPr>
        <w:t xml:space="preserve"> is captured. </w:t>
      </w:r>
    </w:p>
    <w:p w14:paraId="1F9173E2" w14:textId="328B44DA" w:rsidR="002C2AE0" w:rsidRDefault="001A18B2">
      <w:pPr>
        <w:jc w:val="both"/>
        <w:rPr>
          <w:bCs/>
          <w:sz w:val="21"/>
          <w:szCs w:val="21"/>
        </w:rPr>
      </w:pPr>
      <w:r>
        <w:rPr>
          <w:rFonts w:hint="eastAsia"/>
          <w:bCs/>
          <w:sz w:val="21"/>
          <w:szCs w:val="21"/>
        </w:rPr>
        <w:t xml:space="preserve">From this issue discussed in RAN2, we can observe that in RAN2 discussion UE can keep the configuration of </w:t>
      </w:r>
      <w:r w:rsidR="007D085C">
        <w:rPr>
          <w:rFonts w:hint="eastAsia"/>
          <w:bCs/>
          <w:sz w:val="21"/>
          <w:szCs w:val="21"/>
        </w:rPr>
        <w:t>C</w:t>
      </w:r>
      <w:r>
        <w:rPr>
          <w:rFonts w:hint="eastAsia"/>
          <w:bCs/>
          <w:sz w:val="21"/>
          <w:szCs w:val="21"/>
        </w:rPr>
        <w:t>ell B received in Cell</w:t>
      </w:r>
      <w:r w:rsidR="001030C7">
        <w:rPr>
          <w:bCs/>
          <w:sz w:val="21"/>
          <w:szCs w:val="21"/>
        </w:rPr>
        <w:t xml:space="preserve"> </w:t>
      </w:r>
      <w:r>
        <w:rPr>
          <w:rFonts w:hint="eastAsia"/>
          <w:bCs/>
          <w:sz w:val="21"/>
          <w:szCs w:val="21"/>
        </w:rPr>
        <w:t>A after leaving Cell</w:t>
      </w:r>
      <w:r w:rsidR="00AF2E30">
        <w:rPr>
          <w:bCs/>
          <w:sz w:val="21"/>
          <w:szCs w:val="21"/>
        </w:rPr>
        <w:t xml:space="preserve"> </w:t>
      </w:r>
      <w:r>
        <w:rPr>
          <w:rFonts w:hint="eastAsia"/>
          <w:bCs/>
          <w:sz w:val="21"/>
          <w:szCs w:val="21"/>
        </w:rPr>
        <w:t xml:space="preserve">A in order to apply the configuration of </w:t>
      </w:r>
      <w:r w:rsidR="007D085C">
        <w:rPr>
          <w:bCs/>
          <w:sz w:val="21"/>
          <w:szCs w:val="21"/>
        </w:rPr>
        <w:t>C</w:t>
      </w:r>
      <w:r>
        <w:rPr>
          <w:rFonts w:hint="eastAsia"/>
          <w:bCs/>
          <w:sz w:val="21"/>
          <w:szCs w:val="21"/>
        </w:rPr>
        <w:t>ell B for</w:t>
      </w:r>
      <w:r>
        <w:rPr>
          <w:bCs/>
          <w:sz w:val="21"/>
          <w:szCs w:val="21"/>
        </w:rPr>
        <w:t xml:space="preserve"> subsequent cell changes</w:t>
      </w:r>
      <w:r>
        <w:rPr>
          <w:rFonts w:hint="eastAsia"/>
          <w:bCs/>
          <w:sz w:val="21"/>
          <w:szCs w:val="21"/>
        </w:rPr>
        <w:t xml:space="preserve">. Hence, </w:t>
      </w:r>
      <w:r>
        <w:rPr>
          <w:bCs/>
          <w:sz w:val="21"/>
          <w:szCs w:val="21"/>
        </w:rPr>
        <w:t>keeping conditional reconfigurations after a cell change</w:t>
      </w:r>
      <w:r>
        <w:rPr>
          <w:rFonts w:hint="eastAsia"/>
          <w:bCs/>
          <w:sz w:val="21"/>
          <w:szCs w:val="21"/>
        </w:rPr>
        <w:t xml:space="preserve"> is also RAN2</w:t>
      </w:r>
      <w:r>
        <w:rPr>
          <w:bCs/>
          <w:sz w:val="21"/>
          <w:szCs w:val="21"/>
        </w:rPr>
        <w:t>’</w:t>
      </w:r>
      <w:r>
        <w:rPr>
          <w:rFonts w:hint="eastAsia"/>
          <w:bCs/>
          <w:sz w:val="21"/>
          <w:szCs w:val="21"/>
        </w:rPr>
        <w:t xml:space="preserve">s working assumption for </w:t>
      </w:r>
      <w:r>
        <w:rPr>
          <w:rFonts w:hint="eastAsia"/>
          <w:bCs/>
          <w:sz w:val="21"/>
          <w:szCs w:val="21"/>
          <w:lang w:eastAsia="en-US"/>
        </w:rPr>
        <w:t>NR-DC with selective activation</w:t>
      </w:r>
      <w:r>
        <w:rPr>
          <w:rFonts w:hint="eastAsia"/>
          <w:bCs/>
          <w:sz w:val="21"/>
          <w:szCs w:val="21"/>
        </w:rPr>
        <w:t xml:space="preserve">. </w:t>
      </w:r>
    </w:p>
    <w:p w14:paraId="2A175E80" w14:textId="77777777" w:rsidR="002C2AE0" w:rsidRDefault="001A18B2">
      <w:pPr>
        <w:pStyle w:val="Proposal"/>
        <w:numPr>
          <w:ilvl w:val="0"/>
          <w:numId w:val="3"/>
        </w:numPr>
        <w:tabs>
          <w:tab w:val="clear" w:pos="1304"/>
        </w:tabs>
        <w:ind w:left="1701" w:hanging="1701"/>
        <w:rPr>
          <w:rFonts w:ascii="Times New Roman" w:eastAsia="宋体" w:hAnsi="Times New Roman"/>
          <w:lang w:val="en-US" w:eastAsia="zh-CN"/>
        </w:rPr>
      </w:pPr>
      <w:r>
        <w:rPr>
          <w:rFonts w:ascii="Times New Roman" w:eastAsia="宋体" w:hAnsi="Times New Roman" w:hint="eastAsia"/>
          <w:lang w:val="en-US" w:eastAsia="zh-CN"/>
        </w:rPr>
        <w:t xml:space="preserve">RAN3 confirms that </w:t>
      </w:r>
      <w:r w:rsidR="00203718">
        <w:rPr>
          <w:rFonts w:ascii="Times New Roman" w:eastAsia="宋体" w:hAnsi="Times New Roman"/>
          <w:lang w:val="en-US" w:eastAsia="zh-CN"/>
        </w:rPr>
        <w:t>a</w:t>
      </w:r>
      <w:r>
        <w:rPr>
          <w:rFonts w:ascii="Times New Roman" w:eastAsia="宋体" w:hAnsi="Times New Roman"/>
          <w:lang w:val="en-US" w:eastAsia="zh-CN"/>
        </w:rPr>
        <w:t xml:space="preserve"> primary focus of the </w:t>
      </w:r>
      <w:r>
        <w:rPr>
          <w:rFonts w:ascii="Times New Roman" w:eastAsia="宋体" w:hAnsi="Times New Roman" w:hint="eastAsia"/>
          <w:lang w:val="en-US"/>
        </w:rPr>
        <w:t>NR-DC with selective activation</w:t>
      </w:r>
      <w:r>
        <w:rPr>
          <w:rFonts w:ascii="Times New Roman" w:eastAsia="宋体" w:hAnsi="Times New Roman"/>
          <w:lang w:val="en-US" w:eastAsia="zh-CN"/>
        </w:rPr>
        <w:t xml:space="preserve"> is to enable subsequent cell changes by keeping conditional reconfigurations after a cell change.</w:t>
      </w:r>
    </w:p>
    <w:p w14:paraId="5D910D38" w14:textId="77777777" w:rsidR="002C2AE0" w:rsidRPr="00770499" w:rsidRDefault="001A18B2" w:rsidP="00203718">
      <w:pPr>
        <w:keepNext/>
        <w:widowControl w:val="0"/>
        <w:numPr>
          <w:ilvl w:val="1"/>
          <w:numId w:val="2"/>
        </w:numPr>
        <w:spacing w:before="180" w:after="180"/>
        <w:jc w:val="both"/>
        <w:outlineLvl w:val="1"/>
        <w:rPr>
          <w:rFonts w:ascii="Arial" w:hAnsi="Arial" w:cs="Arial"/>
          <w:sz w:val="32"/>
          <w:szCs w:val="32"/>
        </w:rPr>
      </w:pPr>
      <w:r w:rsidRPr="00770499">
        <w:rPr>
          <w:rFonts w:ascii="Arial" w:hAnsi="Arial" w:cs="Arial" w:hint="eastAsia"/>
          <w:sz w:val="32"/>
          <w:szCs w:val="32"/>
        </w:rPr>
        <w:t xml:space="preserve">Impact </w:t>
      </w:r>
      <w:r w:rsidR="002E2E86" w:rsidRPr="00770499">
        <w:rPr>
          <w:rFonts w:ascii="Arial" w:hAnsi="Arial" w:cs="Arial"/>
          <w:sz w:val="32"/>
          <w:szCs w:val="32"/>
        </w:rPr>
        <w:t>on</w:t>
      </w:r>
      <w:r w:rsidRPr="00770499">
        <w:rPr>
          <w:rFonts w:ascii="Arial" w:hAnsi="Arial" w:cs="Arial" w:hint="eastAsia"/>
          <w:sz w:val="32"/>
          <w:szCs w:val="32"/>
        </w:rPr>
        <w:t xml:space="preserve"> Xn</w:t>
      </w:r>
    </w:p>
    <w:p w14:paraId="20B50A71" w14:textId="4EE0C8D3" w:rsidR="002C2AE0" w:rsidRDefault="001A18B2">
      <w:pPr>
        <w:jc w:val="both"/>
        <w:rPr>
          <w:bCs/>
          <w:sz w:val="21"/>
          <w:szCs w:val="21"/>
        </w:rPr>
      </w:pPr>
      <w:r>
        <w:rPr>
          <w:rFonts w:hint="eastAsia"/>
          <w:bCs/>
          <w:sz w:val="21"/>
          <w:szCs w:val="21"/>
        </w:rPr>
        <w:t>In Rel-16/17, two types of CPC are specified, i.e. CPC initiated by MN and by source SN. In CPC initiated by source SN, both the candidate SNs and the corresponding execution conditions are decided by source SN.</w:t>
      </w:r>
      <w:r>
        <w:rPr>
          <w:bCs/>
          <w:sz w:val="21"/>
          <w:szCs w:val="21"/>
        </w:rPr>
        <w:t xml:space="preserve"> In our understanding</w:t>
      </w:r>
      <w:r>
        <w:rPr>
          <w:rFonts w:hint="eastAsia"/>
          <w:bCs/>
          <w:sz w:val="21"/>
          <w:szCs w:val="21"/>
        </w:rPr>
        <w:t xml:space="preserve">, </w:t>
      </w:r>
      <w:r>
        <w:rPr>
          <w:bCs/>
          <w:sz w:val="21"/>
          <w:szCs w:val="21"/>
        </w:rPr>
        <w:t>a</w:t>
      </w:r>
      <w:r>
        <w:rPr>
          <w:rFonts w:hint="eastAsia"/>
          <w:bCs/>
          <w:sz w:val="21"/>
          <w:szCs w:val="21"/>
        </w:rPr>
        <w:t xml:space="preserve">fter </w:t>
      </w:r>
      <w:r>
        <w:rPr>
          <w:bCs/>
          <w:sz w:val="21"/>
          <w:szCs w:val="21"/>
        </w:rPr>
        <w:t>SN</w:t>
      </w:r>
      <w:r>
        <w:rPr>
          <w:rFonts w:hint="eastAsia"/>
          <w:bCs/>
          <w:sz w:val="21"/>
          <w:szCs w:val="21"/>
        </w:rPr>
        <w:t xml:space="preserve"> change</w:t>
      </w:r>
      <w:r>
        <w:rPr>
          <w:bCs/>
          <w:sz w:val="21"/>
          <w:szCs w:val="21"/>
        </w:rPr>
        <w:t>,</w:t>
      </w:r>
      <w:r>
        <w:rPr>
          <w:rFonts w:hint="eastAsia"/>
          <w:bCs/>
          <w:sz w:val="21"/>
          <w:szCs w:val="21"/>
        </w:rPr>
        <w:t xml:space="preserve"> the target SN should be informed about candidate SNs </w:t>
      </w:r>
      <w:r w:rsidR="00203718">
        <w:rPr>
          <w:bCs/>
          <w:sz w:val="21"/>
          <w:szCs w:val="21"/>
        </w:rPr>
        <w:t xml:space="preserve">which </w:t>
      </w:r>
      <w:r>
        <w:rPr>
          <w:rFonts w:hint="eastAsia"/>
          <w:bCs/>
          <w:sz w:val="21"/>
          <w:szCs w:val="21"/>
        </w:rPr>
        <w:t xml:space="preserve">are </w:t>
      </w:r>
      <w:r w:rsidR="00203718">
        <w:rPr>
          <w:bCs/>
          <w:sz w:val="21"/>
          <w:szCs w:val="21"/>
        </w:rPr>
        <w:t xml:space="preserve">already </w:t>
      </w:r>
      <w:r>
        <w:rPr>
          <w:rFonts w:hint="eastAsia"/>
          <w:bCs/>
          <w:sz w:val="21"/>
          <w:szCs w:val="21"/>
        </w:rPr>
        <w:t xml:space="preserve">prepared and the corresponding execution conditions. Otherwise, the target SN may double prepare </w:t>
      </w:r>
      <w:r>
        <w:rPr>
          <w:bCs/>
          <w:sz w:val="21"/>
          <w:szCs w:val="21"/>
        </w:rPr>
        <w:t>an</w:t>
      </w:r>
      <w:r>
        <w:rPr>
          <w:rFonts w:hint="eastAsia"/>
          <w:bCs/>
          <w:sz w:val="21"/>
          <w:szCs w:val="21"/>
        </w:rPr>
        <w:t xml:space="preserve"> SN which has ready </w:t>
      </w:r>
      <w:r>
        <w:rPr>
          <w:bCs/>
          <w:sz w:val="21"/>
          <w:szCs w:val="21"/>
        </w:rPr>
        <w:t>been</w:t>
      </w:r>
      <w:r>
        <w:rPr>
          <w:rFonts w:hint="eastAsia"/>
          <w:bCs/>
          <w:sz w:val="21"/>
          <w:szCs w:val="21"/>
        </w:rPr>
        <w:t xml:space="preserve"> prepared by the source SN or may remove</w:t>
      </w:r>
      <w:r w:rsidR="00EB709E">
        <w:rPr>
          <w:bCs/>
          <w:sz w:val="21"/>
          <w:szCs w:val="21"/>
        </w:rPr>
        <w:t>,</w:t>
      </w:r>
      <w:r>
        <w:rPr>
          <w:rFonts w:hint="eastAsia"/>
          <w:bCs/>
          <w:sz w:val="21"/>
          <w:szCs w:val="21"/>
        </w:rPr>
        <w:t xml:space="preserve"> by mistake</w:t>
      </w:r>
      <w:r w:rsidR="00EB709E">
        <w:rPr>
          <w:bCs/>
          <w:sz w:val="21"/>
          <w:szCs w:val="21"/>
        </w:rPr>
        <w:t>,</w:t>
      </w:r>
      <w:r>
        <w:rPr>
          <w:rFonts w:hint="eastAsia"/>
          <w:bCs/>
          <w:sz w:val="21"/>
          <w:szCs w:val="21"/>
        </w:rPr>
        <w:t xml:space="preserve"> a measurement </w:t>
      </w:r>
      <w:r>
        <w:rPr>
          <w:bCs/>
          <w:sz w:val="21"/>
          <w:szCs w:val="21"/>
        </w:rPr>
        <w:t>object</w:t>
      </w:r>
      <w:r>
        <w:rPr>
          <w:rFonts w:hint="eastAsia"/>
          <w:bCs/>
          <w:sz w:val="21"/>
          <w:szCs w:val="21"/>
        </w:rPr>
        <w:t xml:space="preserve"> </w:t>
      </w:r>
      <w:r>
        <w:rPr>
          <w:bCs/>
          <w:sz w:val="21"/>
          <w:szCs w:val="21"/>
        </w:rPr>
        <w:t>that</w:t>
      </w:r>
      <w:r>
        <w:rPr>
          <w:rFonts w:hint="eastAsia"/>
          <w:bCs/>
          <w:sz w:val="21"/>
          <w:szCs w:val="21"/>
        </w:rPr>
        <w:t xml:space="preserve"> is used </w:t>
      </w:r>
      <w:r>
        <w:rPr>
          <w:bCs/>
          <w:sz w:val="21"/>
          <w:szCs w:val="21"/>
        </w:rPr>
        <w:t xml:space="preserve">by </w:t>
      </w:r>
      <w:r>
        <w:rPr>
          <w:rFonts w:hint="eastAsia"/>
          <w:bCs/>
          <w:sz w:val="21"/>
          <w:szCs w:val="21"/>
        </w:rPr>
        <w:t xml:space="preserve">the execution conditions configured by the source SN.  </w:t>
      </w:r>
    </w:p>
    <w:p w14:paraId="5C5E5682" w14:textId="77777777" w:rsidR="002C2AE0" w:rsidRDefault="001A18B2">
      <w:pPr>
        <w:pStyle w:val="Proposal"/>
        <w:numPr>
          <w:ilvl w:val="0"/>
          <w:numId w:val="3"/>
        </w:numPr>
        <w:tabs>
          <w:tab w:val="clear" w:pos="1304"/>
        </w:tabs>
        <w:ind w:left="1701" w:hanging="1701"/>
      </w:pPr>
      <w:r>
        <w:rPr>
          <w:rFonts w:ascii="Times New Roman" w:eastAsia="宋体" w:hAnsi="Times New Roman"/>
        </w:rPr>
        <w:t xml:space="preserve">For CPC initiated by source SN, the target SN should be informed </w:t>
      </w:r>
      <w:r w:rsidR="00C113BE">
        <w:rPr>
          <w:rFonts w:ascii="Times New Roman" w:eastAsia="宋体" w:hAnsi="Times New Roman" w:hint="eastAsia"/>
          <w:lang w:eastAsia="zh-CN"/>
        </w:rPr>
        <w:t>via</w:t>
      </w:r>
      <w:r w:rsidR="00C113BE">
        <w:rPr>
          <w:rFonts w:ascii="Times New Roman" w:eastAsia="宋体" w:hAnsi="Times New Roman"/>
        </w:rPr>
        <w:t xml:space="preserve"> X</w:t>
      </w:r>
      <w:r w:rsidR="00C113BE">
        <w:rPr>
          <w:rFonts w:ascii="Times New Roman" w:eastAsia="宋体" w:hAnsi="Times New Roman" w:hint="eastAsia"/>
          <w:lang w:eastAsia="zh-CN"/>
        </w:rPr>
        <w:t>n</w:t>
      </w:r>
      <w:r w:rsidR="00C113BE">
        <w:rPr>
          <w:rFonts w:ascii="Times New Roman" w:eastAsia="宋体" w:hAnsi="Times New Roman"/>
        </w:rPr>
        <w:t xml:space="preserve"> </w:t>
      </w:r>
      <w:r w:rsidR="00C113BE">
        <w:rPr>
          <w:rFonts w:ascii="Times New Roman" w:eastAsia="宋体" w:hAnsi="Times New Roman" w:hint="eastAsia"/>
          <w:lang w:eastAsia="zh-CN"/>
        </w:rPr>
        <w:t>message</w:t>
      </w:r>
      <w:r w:rsidR="00C113BE">
        <w:rPr>
          <w:rFonts w:ascii="Times New Roman" w:eastAsia="宋体" w:hAnsi="Times New Roman"/>
        </w:rPr>
        <w:t xml:space="preserve"> </w:t>
      </w:r>
      <w:r>
        <w:rPr>
          <w:rFonts w:ascii="Times New Roman" w:eastAsia="宋体" w:hAnsi="Times New Roman"/>
        </w:rPr>
        <w:t xml:space="preserve">about the information of the </w:t>
      </w:r>
      <w:r w:rsidR="00C113BE">
        <w:rPr>
          <w:rFonts w:ascii="Times New Roman" w:eastAsia="宋体" w:hAnsi="Times New Roman"/>
        </w:rPr>
        <w:t xml:space="preserve">already configured </w:t>
      </w:r>
      <w:r>
        <w:rPr>
          <w:rFonts w:ascii="Times New Roman" w:eastAsia="宋体" w:hAnsi="Times New Roman"/>
        </w:rPr>
        <w:t xml:space="preserve">CPC, including candidate SNs </w:t>
      </w:r>
      <w:r w:rsidR="00C113BE">
        <w:rPr>
          <w:rFonts w:ascii="Times New Roman" w:eastAsia="宋体" w:hAnsi="Times New Roman"/>
        </w:rPr>
        <w:t xml:space="preserve">which </w:t>
      </w:r>
      <w:r>
        <w:rPr>
          <w:rFonts w:ascii="Times New Roman" w:eastAsia="宋体" w:hAnsi="Times New Roman"/>
        </w:rPr>
        <w:t>are prepared and the corresponding execution conditions.</w:t>
      </w:r>
    </w:p>
    <w:p w14:paraId="2A29A1AE" w14:textId="77777777" w:rsidR="002C2AE0" w:rsidRDefault="001A18B2">
      <w:pPr>
        <w:pStyle w:val="Heading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1A2C4BA2" w14:textId="77777777" w:rsidR="002C2AE0" w:rsidRDefault="002E2E86">
      <w:pPr>
        <w:jc w:val="both"/>
        <w:rPr>
          <w:bCs/>
          <w:sz w:val="21"/>
          <w:szCs w:val="21"/>
        </w:rPr>
      </w:pPr>
      <w:r>
        <w:rPr>
          <w:bCs/>
          <w:sz w:val="21"/>
          <w:szCs w:val="21"/>
        </w:rPr>
        <w:t>This contribution provides</w:t>
      </w:r>
      <w:r w:rsidR="001A18B2">
        <w:rPr>
          <w:rFonts w:hint="eastAsia"/>
          <w:bCs/>
          <w:sz w:val="21"/>
          <w:szCs w:val="21"/>
        </w:rPr>
        <w:t xml:space="preserve"> </w:t>
      </w:r>
      <w:r w:rsidR="00C113BE">
        <w:rPr>
          <w:rFonts w:hint="eastAsia"/>
          <w:bCs/>
          <w:sz w:val="21"/>
          <w:szCs w:val="21"/>
        </w:rPr>
        <w:t xml:space="preserve">our view on which WAs can be </w:t>
      </w:r>
      <w:r w:rsidR="00C113BE">
        <w:rPr>
          <w:bCs/>
          <w:sz w:val="21"/>
          <w:szCs w:val="21"/>
          <w:lang w:eastAsia="en-US"/>
        </w:rPr>
        <w:t>turn</w:t>
      </w:r>
      <w:r w:rsidR="00C113BE">
        <w:rPr>
          <w:rFonts w:hint="eastAsia"/>
          <w:bCs/>
          <w:sz w:val="21"/>
          <w:szCs w:val="21"/>
        </w:rPr>
        <w:t>ed</w:t>
      </w:r>
      <w:r w:rsidR="00C113BE">
        <w:rPr>
          <w:bCs/>
          <w:sz w:val="21"/>
          <w:szCs w:val="21"/>
          <w:lang w:eastAsia="en-US"/>
        </w:rPr>
        <w:t xml:space="preserve"> to agreement</w:t>
      </w:r>
      <w:r w:rsidR="00C113BE">
        <w:rPr>
          <w:rFonts w:hint="eastAsia"/>
          <w:bCs/>
          <w:sz w:val="21"/>
          <w:szCs w:val="21"/>
        </w:rPr>
        <w:t xml:space="preserve">s. In addition, our initial thinking on the Xn </w:t>
      </w:r>
      <w:r w:rsidR="00C113BE">
        <w:rPr>
          <w:bCs/>
          <w:sz w:val="21"/>
          <w:szCs w:val="21"/>
        </w:rPr>
        <w:t>changes required to support</w:t>
      </w:r>
      <w:r w:rsidR="00C113BE">
        <w:rPr>
          <w:rFonts w:hint="eastAsia"/>
          <w:bCs/>
          <w:sz w:val="21"/>
          <w:szCs w:val="21"/>
        </w:rPr>
        <w:t xml:space="preserve"> </w:t>
      </w:r>
      <w:r w:rsidR="00C113BE">
        <w:rPr>
          <w:rFonts w:hint="eastAsia"/>
          <w:bCs/>
          <w:sz w:val="21"/>
          <w:szCs w:val="21"/>
          <w:lang w:eastAsia="en-US"/>
        </w:rPr>
        <w:t>NR-DC with selective activation</w:t>
      </w:r>
      <w:r w:rsidR="00C113BE">
        <w:rPr>
          <w:rFonts w:hint="eastAsia"/>
          <w:bCs/>
          <w:sz w:val="21"/>
          <w:szCs w:val="21"/>
        </w:rPr>
        <w:t xml:space="preserve"> </w:t>
      </w:r>
      <w:r>
        <w:rPr>
          <w:bCs/>
          <w:sz w:val="21"/>
          <w:szCs w:val="21"/>
        </w:rPr>
        <w:t>is</w:t>
      </w:r>
      <w:r w:rsidR="00C113BE">
        <w:rPr>
          <w:rFonts w:hint="eastAsia"/>
          <w:bCs/>
          <w:sz w:val="21"/>
          <w:szCs w:val="21"/>
        </w:rPr>
        <w:t xml:space="preserve"> also provided.</w:t>
      </w:r>
      <w:r w:rsidR="001A18B2">
        <w:rPr>
          <w:bCs/>
          <w:sz w:val="21"/>
          <w:szCs w:val="21"/>
        </w:rPr>
        <w:t xml:space="preserve"> </w:t>
      </w:r>
      <w:r w:rsidR="00C113BE">
        <w:rPr>
          <w:bCs/>
          <w:sz w:val="21"/>
          <w:szCs w:val="21"/>
        </w:rPr>
        <w:t>The</w:t>
      </w:r>
      <w:r w:rsidR="001A18B2">
        <w:rPr>
          <w:bCs/>
          <w:sz w:val="21"/>
          <w:szCs w:val="21"/>
        </w:rPr>
        <w:t xml:space="preserve"> </w:t>
      </w:r>
      <w:r w:rsidR="001A18B2">
        <w:rPr>
          <w:rFonts w:hint="eastAsia"/>
          <w:bCs/>
          <w:sz w:val="21"/>
          <w:szCs w:val="21"/>
        </w:rPr>
        <w:t>proposals</w:t>
      </w:r>
      <w:r w:rsidR="001A18B2">
        <w:rPr>
          <w:bCs/>
          <w:sz w:val="21"/>
          <w:szCs w:val="21"/>
        </w:rPr>
        <w:t xml:space="preserve"> are following</w:t>
      </w:r>
      <w:r w:rsidR="001A18B2">
        <w:rPr>
          <w:rFonts w:hint="eastAsia"/>
          <w:bCs/>
          <w:sz w:val="21"/>
          <w:szCs w:val="21"/>
        </w:rPr>
        <w:t>:</w:t>
      </w:r>
    </w:p>
    <w:bookmarkEnd w:id="5"/>
    <w:bookmarkEnd w:id="6"/>
    <w:p w14:paraId="305E3AE7" w14:textId="77777777" w:rsidR="00C113BE" w:rsidRPr="00C113BE" w:rsidRDefault="00C113BE" w:rsidP="00C113BE">
      <w:pPr>
        <w:pStyle w:val="Proposal"/>
        <w:numPr>
          <w:ilvl w:val="0"/>
          <w:numId w:val="9"/>
        </w:numPr>
        <w:tabs>
          <w:tab w:val="clear" w:pos="1304"/>
        </w:tabs>
        <w:rPr>
          <w:rFonts w:ascii="Times New Roman" w:eastAsia="宋体" w:hAnsi="Times New Roman"/>
        </w:rPr>
      </w:pPr>
      <w:r w:rsidRPr="00C113BE">
        <w:rPr>
          <w:rFonts w:ascii="Times New Roman" w:eastAsia="宋体" w:hAnsi="Times New Roman" w:hint="eastAsia"/>
        </w:rPr>
        <w:t xml:space="preserve">RAN3 confirms that </w:t>
      </w:r>
      <w:r w:rsidRPr="00C113BE">
        <w:rPr>
          <w:rFonts w:ascii="Times New Roman" w:eastAsia="宋体" w:hAnsi="Times New Roman"/>
        </w:rPr>
        <w:t>SCG selective activation is prioritized in the Rel-18 work.</w:t>
      </w:r>
    </w:p>
    <w:p w14:paraId="2A067A79" w14:textId="77777777" w:rsidR="00C113BE" w:rsidRPr="00C113BE" w:rsidRDefault="00C113BE" w:rsidP="00C113BE">
      <w:pPr>
        <w:pStyle w:val="Proposal"/>
        <w:numPr>
          <w:ilvl w:val="0"/>
          <w:numId w:val="9"/>
        </w:numPr>
        <w:tabs>
          <w:tab w:val="clear" w:pos="1304"/>
        </w:tabs>
        <w:ind w:left="1701" w:hanging="1701"/>
        <w:rPr>
          <w:rFonts w:ascii="Times New Roman" w:eastAsia="宋体" w:hAnsi="Times New Roman"/>
        </w:rPr>
      </w:pPr>
      <w:r w:rsidRPr="00C113BE">
        <w:rPr>
          <w:rFonts w:ascii="Times New Roman" w:eastAsia="宋体" w:hAnsi="Times New Roman" w:hint="eastAsia"/>
        </w:rPr>
        <w:t xml:space="preserve">RAN3 confirms that </w:t>
      </w:r>
      <w:r w:rsidRPr="00C113BE">
        <w:rPr>
          <w:rFonts w:ascii="Times New Roman" w:eastAsia="宋体" w:hAnsi="Times New Roman"/>
        </w:rPr>
        <w:t xml:space="preserve">a primary focus of the </w:t>
      </w:r>
      <w:r w:rsidRPr="00C113BE">
        <w:rPr>
          <w:rFonts w:ascii="Times New Roman" w:eastAsia="宋体" w:hAnsi="Times New Roman" w:hint="eastAsia"/>
        </w:rPr>
        <w:t>NR-DC with selective activation</w:t>
      </w:r>
      <w:r w:rsidRPr="00C113BE">
        <w:rPr>
          <w:rFonts w:ascii="Times New Roman" w:eastAsia="宋体" w:hAnsi="Times New Roman"/>
        </w:rPr>
        <w:t xml:space="preserve"> is to enable subsequent cell changes by keeping conditional reconfigurations after a cell change.</w:t>
      </w:r>
    </w:p>
    <w:p w14:paraId="55954388" w14:textId="77777777" w:rsidR="00C113BE" w:rsidRPr="00C113BE" w:rsidRDefault="00C113BE" w:rsidP="00C113BE">
      <w:pPr>
        <w:pStyle w:val="Proposal"/>
        <w:numPr>
          <w:ilvl w:val="0"/>
          <w:numId w:val="9"/>
        </w:numPr>
        <w:tabs>
          <w:tab w:val="clear" w:pos="1304"/>
        </w:tabs>
        <w:ind w:left="1701" w:hanging="1701"/>
        <w:rPr>
          <w:rFonts w:ascii="Times New Roman" w:eastAsia="宋体" w:hAnsi="Times New Roman"/>
        </w:rPr>
      </w:pPr>
      <w:r w:rsidRPr="00C113BE">
        <w:rPr>
          <w:rFonts w:ascii="Times New Roman" w:eastAsia="宋体" w:hAnsi="Times New Roman"/>
        </w:rPr>
        <w:t xml:space="preserve">For CPC initiated by source SN, the target SN should be informed </w:t>
      </w:r>
      <w:r w:rsidRPr="00C113BE">
        <w:rPr>
          <w:rFonts w:ascii="Times New Roman" w:eastAsia="宋体" w:hAnsi="Times New Roman" w:hint="eastAsia"/>
        </w:rPr>
        <w:t>via</w:t>
      </w:r>
      <w:r w:rsidRPr="00C113BE">
        <w:rPr>
          <w:rFonts w:ascii="Times New Roman" w:eastAsia="宋体" w:hAnsi="Times New Roman"/>
        </w:rPr>
        <w:t xml:space="preserve"> X</w:t>
      </w:r>
      <w:r w:rsidRPr="00C113BE">
        <w:rPr>
          <w:rFonts w:ascii="Times New Roman" w:eastAsia="宋体" w:hAnsi="Times New Roman" w:hint="eastAsia"/>
        </w:rPr>
        <w:t>n</w:t>
      </w:r>
      <w:r w:rsidRPr="00C113BE">
        <w:rPr>
          <w:rFonts w:ascii="Times New Roman" w:eastAsia="宋体" w:hAnsi="Times New Roman"/>
        </w:rPr>
        <w:t xml:space="preserve"> </w:t>
      </w:r>
      <w:r w:rsidRPr="00C113BE">
        <w:rPr>
          <w:rFonts w:ascii="Times New Roman" w:eastAsia="宋体" w:hAnsi="Times New Roman" w:hint="eastAsia"/>
        </w:rPr>
        <w:t>message</w:t>
      </w:r>
      <w:r w:rsidRPr="00C113BE">
        <w:rPr>
          <w:rFonts w:ascii="Times New Roman" w:eastAsia="宋体" w:hAnsi="Times New Roman"/>
        </w:rPr>
        <w:t xml:space="preserve"> about the information of the already configured CPC, including candidate SNs which are prepared and the corresponding execution conditions.</w:t>
      </w:r>
    </w:p>
    <w:sectPr w:rsidR="00C113BE" w:rsidRPr="00C113BE">
      <w:pgSz w:w="11906" w:h="16838"/>
      <w:pgMar w:top="284" w:right="1416"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C34CF" w14:textId="77777777" w:rsidR="000A4AE9" w:rsidRDefault="000A4AE9" w:rsidP="00203718">
      <w:r>
        <w:separator/>
      </w:r>
    </w:p>
  </w:endnote>
  <w:endnote w:type="continuationSeparator" w:id="0">
    <w:p w14:paraId="44F2A4B1" w14:textId="77777777" w:rsidR="000A4AE9" w:rsidRDefault="000A4AE9" w:rsidP="00203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4C8E7F" w14:textId="77777777" w:rsidR="000A4AE9" w:rsidRDefault="000A4AE9" w:rsidP="00203718">
      <w:r>
        <w:separator/>
      </w:r>
    </w:p>
  </w:footnote>
  <w:footnote w:type="continuationSeparator" w:id="0">
    <w:p w14:paraId="46039306" w14:textId="77777777" w:rsidR="000A4AE9" w:rsidRDefault="000A4AE9" w:rsidP="002037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A58A9"/>
    <w:multiLevelType w:val="multilevel"/>
    <w:tmpl w:val="3AA46647"/>
    <w:lvl w:ilvl="0">
      <w:start w:val="1"/>
      <w:numFmt w:val="decimal"/>
      <w:lvlText w:val="Proposal %1"/>
      <w:lvlJc w:val="left"/>
      <w:pPr>
        <w:tabs>
          <w:tab w:val="left" w:pos="1304"/>
        </w:tabs>
        <w:ind w:left="130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13FF505C"/>
    <w:multiLevelType w:val="multilevel"/>
    <w:tmpl w:val="13FF505C"/>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19F0B53"/>
    <w:multiLevelType w:val="multilevel"/>
    <w:tmpl w:val="5528665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lvlText w:val="Proposal %1"/>
      <w:lvlJc w:val="left"/>
      <w:pPr>
        <w:tabs>
          <w:tab w:val="left" w:pos="1304"/>
        </w:tabs>
        <w:ind w:left="130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A780007"/>
    <w:multiLevelType w:val="multilevel"/>
    <w:tmpl w:val="5A780007"/>
    <w:lvl w:ilvl="0">
      <w:start w:val="1"/>
      <w:numFmt w:val="decimal"/>
      <w:lvlText w:val="Proposal %1"/>
      <w:lvlJc w:val="left"/>
      <w:pPr>
        <w:tabs>
          <w:tab w:val="left" w:pos="1304"/>
        </w:tabs>
        <w:ind w:left="130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 w15:restartNumberingAfterBreak="0">
    <w:nsid w:val="6F973975"/>
    <w:multiLevelType w:val="multilevel"/>
    <w:tmpl w:val="3AA46647"/>
    <w:lvl w:ilvl="0">
      <w:start w:val="1"/>
      <w:numFmt w:val="decimal"/>
      <w:lvlText w:val="Proposal %1"/>
      <w:lvlJc w:val="left"/>
      <w:pPr>
        <w:tabs>
          <w:tab w:val="left" w:pos="1304"/>
        </w:tabs>
        <w:ind w:left="130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0651F0E"/>
    <w:multiLevelType w:val="multilevel"/>
    <w:tmpl w:val="38DE0A00"/>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3"/>
  </w:num>
  <w:num w:numId="4">
    <w:abstractNumId w:val="1"/>
  </w:num>
  <w:num w:numId="5">
    <w:abstractNumId w:val="4"/>
  </w:num>
  <w:num w:numId="6">
    <w:abstractNumId w:val="2"/>
  </w:num>
  <w:num w:numId="7">
    <w:abstractNumId w:val="8"/>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18030ED0"/>
    <w:rsid w:val="000A4AE9"/>
    <w:rsid w:val="001030C7"/>
    <w:rsid w:val="001A18B2"/>
    <w:rsid w:val="00203718"/>
    <w:rsid w:val="002C2AE0"/>
    <w:rsid w:val="002E2E86"/>
    <w:rsid w:val="003C5CE8"/>
    <w:rsid w:val="006B24D4"/>
    <w:rsid w:val="00770499"/>
    <w:rsid w:val="007D085C"/>
    <w:rsid w:val="00A4737D"/>
    <w:rsid w:val="00AF2E30"/>
    <w:rsid w:val="00C06BE6"/>
    <w:rsid w:val="00C113BE"/>
    <w:rsid w:val="00D53D80"/>
    <w:rsid w:val="00E20AE6"/>
    <w:rsid w:val="00EB709E"/>
    <w:rsid w:val="02620EC5"/>
    <w:rsid w:val="026A3490"/>
    <w:rsid w:val="035A01F3"/>
    <w:rsid w:val="03DA352C"/>
    <w:rsid w:val="042D54AC"/>
    <w:rsid w:val="045C199F"/>
    <w:rsid w:val="050F11C8"/>
    <w:rsid w:val="05CA7A45"/>
    <w:rsid w:val="068F1CD2"/>
    <w:rsid w:val="08F02424"/>
    <w:rsid w:val="0B365CD9"/>
    <w:rsid w:val="0BFF4844"/>
    <w:rsid w:val="0C116D6E"/>
    <w:rsid w:val="0DC403E1"/>
    <w:rsid w:val="0FF34D28"/>
    <w:rsid w:val="102C2B87"/>
    <w:rsid w:val="14B54096"/>
    <w:rsid w:val="1518187D"/>
    <w:rsid w:val="18030ED0"/>
    <w:rsid w:val="19CB5704"/>
    <w:rsid w:val="1A4478CF"/>
    <w:rsid w:val="1AF97790"/>
    <w:rsid w:val="1B6F238E"/>
    <w:rsid w:val="1C797437"/>
    <w:rsid w:val="1C8F70F7"/>
    <w:rsid w:val="1C9C70B9"/>
    <w:rsid w:val="1E142D51"/>
    <w:rsid w:val="1E6F5632"/>
    <w:rsid w:val="1F7C5540"/>
    <w:rsid w:val="21BB05A4"/>
    <w:rsid w:val="22911279"/>
    <w:rsid w:val="23C70D71"/>
    <w:rsid w:val="241449FF"/>
    <w:rsid w:val="248523BA"/>
    <w:rsid w:val="24D261CD"/>
    <w:rsid w:val="252E2110"/>
    <w:rsid w:val="25C42053"/>
    <w:rsid w:val="26164F51"/>
    <w:rsid w:val="28AA1B17"/>
    <w:rsid w:val="28DF5458"/>
    <w:rsid w:val="29545BEB"/>
    <w:rsid w:val="297C545A"/>
    <w:rsid w:val="2B377701"/>
    <w:rsid w:val="2D521F41"/>
    <w:rsid w:val="2D78703C"/>
    <w:rsid w:val="2D905ED5"/>
    <w:rsid w:val="2DB36E52"/>
    <w:rsid w:val="2E880EF8"/>
    <w:rsid w:val="2EE5367F"/>
    <w:rsid w:val="2F576F3F"/>
    <w:rsid w:val="30F2171C"/>
    <w:rsid w:val="31BF7909"/>
    <w:rsid w:val="32BD0E0C"/>
    <w:rsid w:val="356C6A5B"/>
    <w:rsid w:val="38605C51"/>
    <w:rsid w:val="3A7E3B87"/>
    <w:rsid w:val="3BC36D10"/>
    <w:rsid w:val="3C3133B2"/>
    <w:rsid w:val="3D1F0ED1"/>
    <w:rsid w:val="3D6F4EC0"/>
    <w:rsid w:val="3D86766A"/>
    <w:rsid w:val="3DC8140B"/>
    <w:rsid w:val="3DF0071B"/>
    <w:rsid w:val="3E08713D"/>
    <w:rsid w:val="3E164E7F"/>
    <w:rsid w:val="3F0A3F9B"/>
    <w:rsid w:val="3FA6139E"/>
    <w:rsid w:val="3FE837F4"/>
    <w:rsid w:val="40261F53"/>
    <w:rsid w:val="43D9458E"/>
    <w:rsid w:val="43EC1F72"/>
    <w:rsid w:val="491F188C"/>
    <w:rsid w:val="49595C61"/>
    <w:rsid w:val="49636F57"/>
    <w:rsid w:val="49C806BF"/>
    <w:rsid w:val="4C3928A8"/>
    <w:rsid w:val="4C8B1F51"/>
    <w:rsid w:val="4D464C6D"/>
    <w:rsid w:val="4D8B32DB"/>
    <w:rsid w:val="4E4C5374"/>
    <w:rsid w:val="51243BA6"/>
    <w:rsid w:val="52F52EF0"/>
    <w:rsid w:val="535554A3"/>
    <w:rsid w:val="545B5759"/>
    <w:rsid w:val="54686BA6"/>
    <w:rsid w:val="57EC2492"/>
    <w:rsid w:val="58C65E01"/>
    <w:rsid w:val="593B43F3"/>
    <w:rsid w:val="59721E9D"/>
    <w:rsid w:val="5A3311C8"/>
    <w:rsid w:val="5C2F2CBD"/>
    <w:rsid w:val="5DDC25CE"/>
    <w:rsid w:val="623C50FF"/>
    <w:rsid w:val="63337E56"/>
    <w:rsid w:val="6463164A"/>
    <w:rsid w:val="6A5E7FEC"/>
    <w:rsid w:val="6B0C7F5B"/>
    <w:rsid w:val="6B3D3941"/>
    <w:rsid w:val="6D077158"/>
    <w:rsid w:val="6D683071"/>
    <w:rsid w:val="6F647164"/>
    <w:rsid w:val="71052006"/>
    <w:rsid w:val="71DD2CE6"/>
    <w:rsid w:val="72DD14D0"/>
    <w:rsid w:val="748658C4"/>
    <w:rsid w:val="75D74032"/>
    <w:rsid w:val="76DD6FF2"/>
    <w:rsid w:val="77C95C80"/>
    <w:rsid w:val="79724CDB"/>
    <w:rsid w:val="79886268"/>
    <w:rsid w:val="7A31037B"/>
    <w:rsid w:val="7AC44083"/>
    <w:rsid w:val="7BBF77B0"/>
    <w:rsid w:val="7C373D73"/>
    <w:rsid w:val="7C4824A4"/>
    <w:rsid w:val="7CD50F3B"/>
    <w:rsid w:val="7D8C294A"/>
    <w:rsid w:val="7EAD5AEB"/>
    <w:rsid w:val="7F3F1EBC"/>
    <w:rsid w:val="7F515ABE"/>
    <w:rsid w:val="7FF83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6FD1490"/>
  <w15:docId w15:val="{47AF4888-69E8-44AA-8810-FB0049D0E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13BE"/>
    <w:rPr>
      <w:rFonts w:ascii="Times New Roman" w:hAnsi="Times New Roman" w:cs="Times New Roman"/>
      <w:sz w:val="24"/>
      <w:szCs w:val="24"/>
    </w:rPr>
  </w:style>
  <w:style w:type="paragraph" w:styleId="Heading1">
    <w:name w:val="heading 1"/>
    <w:basedOn w:val="Normal"/>
    <w:next w:val="Normal"/>
    <w:qFormat/>
    <w:pPr>
      <w:keepNext/>
      <w:spacing w:before="120" w:after="120"/>
      <w:outlineLvl w:val="0"/>
    </w:pPr>
    <w:rPr>
      <w:rFonts w:ascii="Arial" w:hAnsi="Arial" w:cs="Arial"/>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after="120"/>
      <w:jc w:val="both"/>
    </w:pPr>
    <w:rPr>
      <w:rFonts w:eastAsia="MS Mincho"/>
      <w:sz w:val="20"/>
      <w:lang w:eastAsia="en-US"/>
    </w:rPr>
  </w:style>
  <w:style w:type="paragraph" w:styleId="Header">
    <w:name w:val="header"/>
    <w:basedOn w:val="Normal"/>
    <w:uiPriority w:val="99"/>
    <w:qFormat/>
    <w:pPr>
      <w:tabs>
        <w:tab w:val="center" w:pos="4536"/>
        <w:tab w:val="right" w:pos="9072"/>
      </w:tabs>
      <w:spacing w:after="120"/>
    </w:pPr>
    <w:rPr>
      <w:rFonts w:ascii="Arial" w:eastAsia="MS Mincho" w:hAnsi="Arial"/>
      <w:b/>
      <w:sz w:val="20"/>
      <w:lang w:eastAsia="en-U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Pr>
      <w:i/>
    </w:rPr>
  </w:style>
  <w:style w:type="paragraph" w:customStyle="1" w:styleId="Observation">
    <w:name w:val="Observation"/>
    <w:basedOn w:val="Normal"/>
    <w:qFormat/>
    <w:p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qFormat/>
    <w:pPr>
      <w:tabs>
        <w:tab w:val="left" w:pos="1304"/>
        <w:tab w:val="left" w:pos="1701"/>
      </w:tabs>
      <w:overflowPunct w:val="0"/>
      <w:autoSpaceDE w:val="0"/>
      <w:autoSpaceDN w:val="0"/>
      <w:adjustRightInd w:val="0"/>
      <w:textAlignment w:val="baseline"/>
    </w:pPr>
    <w:rPr>
      <w:rFonts w:ascii="Arial" w:eastAsiaTheme="minorEastAsia" w:hAnsi="Arial"/>
      <w:b/>
      <w:bCs/>
      <w:szCs w:val="20"/>
      <w:lang w:val="en-GB"/>
    </w:rPr>
  </w:style>
  <w:style w:type="paragraph" w:customStyle="1" w:styleId="Agreement">
    <w:name w:val="Agreement"/>
    <w:basedOn w:val="Normal"/>
    <w:next w:val="Doc-text2"/>
    <w:qFormat/>
    <w:pPr>
      <w:numPr>
        <w:numId w:val="1"/>
      </w:numPr>
      <w:spacing w:before="60"/>
    </w:pPr>
    <w:rPr>
      <w:b/>
    </w:rPr>
  </w:style>
  <w:style w:type="paragraph" w:customStyle="1" w:styleId="Doc-text2">
    <w:name w:val="Doc-text2"/>
    <w:basedOn w:val="Normal"/>
    <w:qFormat/>
    <w:pPr>
      <w:tabs>
        <w:tab w:val="left" w:pos="1622"/>
      </w:tabs>
      <w:ind w:left="1622" w:hanging="363"/>
    </w:pPr>
  </w:style>
  <w:style w:type="paragraph" w:styleId="Footer">
    <w:name w:val="footer"/>
    <w:basedOn w:val="Normal"/>
    <w:link w:val="FooterChar"/>
    <w:rsid w:val="00203718"/>
    <w:pPr>
      <w:tabs>
        <w:tab w:val="center" w:pos="4153"/>
        <w:tab w:val="right" w:pos="8306"/>
      </w:tabs>
      <w:snapToGrid w:val="0"/>
    </w:pPr>
    <w:rPr>
      <w:sz w:val="18"/>
      <w:szCs w:val="18"/>
    </w:rPr>
  </w:style>
  <w:style w:type="character" w:customStyle="1" w:styleId="FooterChar">
    <w:name w:val="Footer Char"/>
    <w:basedOn w:val="DefaultParagraphFont"/>
    <w:link w:val="Footer"/>
    <w:rsid w:val="00203718"/>
    <w:rPr>
      <w:rFonts w:ascii="Times New Roman" w:hAnsi="Times New Roman" w:cs="Times New Roman"/>
      <w:sz w:val="18"/>
      <w:szCs w:val="18"/>
    </w:rPr>
  </w:style>
  <w:style w:type="paragraph" w:styleId="BalloonText">
    <w:name w:val="Balloon Text"/>
    <w:basedOn w:val="Normal"/>
    <w:link w:val="BalloonTextChar"/>
    <w:rsid w:val="00A4737D"/>
    <w:rPr>
      <w:rFonts w:ascii="Segoe UI" w:hAnsi="Segoe UI" w:cs="Segoe UI"/>
      <w:sz w:val="18"/>
      <w:szCs w:val="18"/>
    </w:rPr>
  </w:style>
  <w:style w:type="character" w:customStyle="1" w:styleId="BalloonTextChar">
    <w:name w:val="Balloon Text Char"/>
    <w:basedOn w:val="DefaultParagraphFont"/>
    <w:link w:val="BalloonText"/>
    <w:rsid w:val="00A4737D"/>
    <w:rPr>
      <w:rFonts w:ascii="Segoe UI" w:hAnsi="Segoe UI" w:cs="Segoe UI"/>
      <w:sz w:val="18"/>
      <w:szCs w:val="18"/>
    </w:rPr>
  </w:style>
  <w:style w:type="paragraph" w:styleId="Revision">
    <w:name w:val="Revision"/>
    <w:hidden/>
    <w:uiPriority w:val="99"/>
    <w:semiHidden/>
    <w:rsid w:val="007D085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848291">
      <w:bodyDiv w:val="1"/>
      <w:marLeft w:val="0"/>
      <w:marRight w:val="0"/>
      <w:marTop w:val="0"/>
      <w:marBottom w:val="0"/>
      <w:divBdr>
        <w:top w:val="none" w:sz="0" w:space="0" w:color="auto"/>
        <w:left w:val="none" w:sz="0" w:space="0" w:color="auto"/>
        <w:bottom w:val="none" w:sz="0" w:space="0" w:color="auto"/>
        <w:right w:val="none" w:sz="0" w:space="0" w:color="auto"/>
      </w:divBdr>
    </w:div>
    <w:div w:id="8919631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435DA7-91CF-40D7-BC57-659CEE3F69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1465F4-FB1F-4FC9-979E-DFE806CB13DF}">
  <ds:schemaRefs>
    <ds:schemaRef ds:uri="http://schemas.microsoft.com/sharepoint/v3/contenttype/forms"/>
  </ds:schemaRefs>
</ds:datastoreItem>
</file>

<file path=customXml/itemProps4.xml><?xml version="1.0" encoding="utf-8"?>
<ds:datastoreItem xmlns:ds="http://schemas.openxmlformats.org/officeDocument/2006/customXml" ds:itemID="{84224F36-5420-4E26-9555-7552F47B9E40}">
  <ds:schemaRefs>
    <ds:schemaRef ds:uri="http://schemas.microsoft.com/office/2006/metadata/properties"/>
    <ds:schemaRef ds:uri="http://www.w3.org/XML/1998/namespace"/>
    <ds:schemaRef ds:uri="http://purl.org/dc/elements/1.1/"/>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98194d48-cc26-4b7e-909f-baa95c83abfa"/>
    <ds:schemaRef ds:uri="1c248485-b98a-4513-a581-ff7cb1688d78"/>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947</Words>
  <Characters>5402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baowei</dc:creator>
  <cp:lastModifiedBy>vivo (Boubacar)</cp:lastModifiedBy>
  <cp:revision>2</cp:revision>
  <dcterms:created xsi:type="dcterms:W3CDTF">2022-09-28T06:49:00Z</dcterms:created>
  <dcterms:modified xsi:type="dcterms:W3CDTF">2022-09-28T06:49:00Z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C968472A034641B9A96B7024713E3525</vt:lpwstr>
  </property>
  <property fmtid="{D5CDD505-2E9C-101B-9397-08002B2CF9AE}" pid="4" name="ContentTypeId">
    <vt:lpwstr>0x01010057CC4845EE989D469C4AF99498678D58</vt:lpwstr>
  </property>
  <property fmtid="{D5CDD505-2E9C-101B-9397-08002B2CF9AE}" pid="5" name="GrammarlyDocumentId">
    <vt:lpwstr>14000da13e035a8e31930c3537471181ef065167953091f20edcae87e788c579</vt:lpwstr>
  </property>
</Properties>
</file>